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Default="0084467C" w:rsidP="0084467C">
      <w:pPr>
        <w:rPr>
          <w:lang w:val="hr-HR"/>
        </w:rPr>
      </w:pPr>
    </w:p>
    <w:p w:rsidR="0084467C" w:rsidRDefault="0084467C" w:rsidP="0084467C">
      <w:pPr>
        <w:rPr>
          <w:lang w:val="hr-HR"/>
        </w:rPr>
      </w:pPr>
    </w:p>
    <w:p w:rsidR="0084467C" w:rsidRDefault="0084467C" w:rsidP="0084467C">
      <w:pPr>
        <w:rPr>
          <w:lang w:val="hr-HR"/>
        </w:rPr>
      </w:pPr>
    </w:p>
    <w:p w:rsidR="0084467C" w:rsidRDefault="0084467C" w:rsidP="0084467C">
      <w:pPr>
        <w:rPr>
          <w:lang w:val="hr-HR"/>
        </w:rPr>
      </w:pPr>
    </w:p>
    <w:p w:rsidR="0084467C" w:rsidRPr="009B5CBF" w:rsidRDefault="0084467C" w:rsidP="0084467C">
      <w:pPr>
        <w:rPr>
          <w:lang w:val="hr-HR"/>
        </w:rPr>
      </w:pPr>
    </w:p>
    <w:p w:rsidR="0084467C" w:rsidRDefault="0084467C" w:rsidP="0084467C">
      <w:pPr>
        <w:rPr>
          <w:lang w:val="hr-HR"/>
        </w:rPr>
      </w:pPr>
    </w:p>
    <w:p w:rsidR="0084467C" w:rsidRDefault="0084467C" w:rsidP="0084467C">
      <w:pPr>
        <w:rPr>
          <w:lang w:val="hr-HR"/>
        </w:rPr>
      </w:pPr>
    </w:p>
    <w:p w:rsidR="0084467C" w:rsidRPr="009B5CBF" w:rsidRDefault="0084467C" w:rsidP="0084467C">
      <w:pPr>
        <w:rPr>
          <w:lang w:val="hr-HR"/>
        </w:rPr>
      </w:pPr>
      <w:bookmarkStart w:id="0" w:name="_GoBack"/>
      <w:bookmarkEnd w:id="0"/>
    </w:p>
    <w:p w:rsidR="0084467C" w:rsidRPr="009B5CBF" w:rsidRDefault="0084467C" w:rsidP="0084467C">
      <w:pPr>
        <w:rPr>
          <w:lang w:val="hr-HR"/>
        </w:rPr>
      </w:pPr>
    </w:p>
    <w:p w:rsidR="0084467C" w:rsidRPr="009B5CBF" w:rsidRDefault="0084467C" w:rsidP="0084467C">
      <w:pPr>
        <w:rPr>
          <w:lang w:val="hr-HR"/>
        </w:rPr>
      </w:pPr>
    </w:p>
    <w:p w:rsidR="0084467C" w:rsidRDefault="0084467C" w:rsidP="0084467C">
      <w:pPr>
        <w:jc w:val="center"/>
        <w:rPr>
          <w:lang w:val="hr-HR"/>
        </w:rPr>
      </w:pPr>
      <w:r w:rsidRPr="001908B3">
        <w:rPr>
          <w:rFonts w:ascii="Times New Roman" w:hAnsi="Times New Roman" w:cs="Times New Roman"/>
          <w:b/>
          <w:sz w:val="24"/>
          <w:szCs w:val="24"/>
          <w:lang w:val="hr-HR"/>
        </w:rPr>
        <w:t>OBRAZLOŽENJE PRIJEDLOGA IZMJENA I DOPUNA DRŽAVNOG PRORAČUNA REPUBLIKE HRVATSKE I FINANCIJSKIH PLANOVA IZV</w:t>
      </w:r>
      <w:r>
        <w:rPr>
          <w:rFonts w:ascii="Times New Roman" w:hAnsi="Times New Roman" w:cs="Times New Roman"/>
          <w:b/>
          <w:sz w:val="24"/>
          <w:szCs w:val="24"/>
          <w:lang w:val="hr-HR"/>
        </w:rPr>
        <w:t>ANPRORAČUNSKIH KORISNIKA ZA 2024</w:t>
      </w:r>
      <w:r w:rsidRPr="001908B3">
        <w:rPr>
          <w:rFonts w:ascii="Times New Roman" w:hAnsi="Times New Roman" w:cs="Times New Roman"/>
          <w:b/>
          <w:sz w:val="24"/>
          <w:szCs w:val="24"/>
          <w:lang w:val="hr-HR"/>
        </w:rPr>
        <w:t>. GODINU</w:t>
      </w:r>
    </w:p>
    <w:p w:rsidR="0084467C" w:rsidRPr="0049458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84467C" w:rsidRPr="009B5CBF" w:rsidRDefault="0084467C" w:rsidP="0084467C">
      <w:pPr>
        <w:rPr>
          <w:lang w:val="hr-HR"/>
        </w:rPr>
      </w:pPr>
    </w:p>
    <w:p w:rsidR="00025948" w:rsidRPr="009B5CBF" w:rsidRDefault="00025948" w:rsidP="00025948">
      <w:pPr>
        <w:jc w:val="center"/>
        <w:rPr>
          <w:lang w:val="hr-HR"/>
        </w:rPr>
        <w:sectPr w:rsidR="00025948" w:rsidRPr="009B5CBF" w:rsidSect="00927736">
          <w:footerReference w:type="default" r:id="rId8"/>
          <w:pgSz w:w="11906" w:h="16838"/>
          <w:pgMar w:top="1417" w:right="1417" w:bottom="1417" w:left="1417" w:header="708" w:footer="708" w:gutter="0"/>
          <w:cols w:space="708"/>
          <w:titlePg/>
          <w:docGrid w:linePitch="360"/>
        </w:sectPr>
      </w:pP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Heading"/>
            <w:rPr>
              <w:lang w:val="hr-HR"/>
            </w:rPr>
          </w:pPr>
          <w:r w:rsidRPr="009B5CBF">
            <w:rPr>
              <w:lang w:val="hr-HR"/>
            </w:rPr>
            <w:t>Sadržaj</w:t>
          </w:r>
        </w:p>
        <w:p w:rsidR="00025948" w:rsidRPr="009B5CBF" w:rsidRDefault="00025948" w:rsidP="00025948">
          <w:pPr>
            <w:rPr>
              <w:lang w:val="hr-HR" w:eastAsia="ja-JP"/>
            </w:rPr>
          </w:pPr>
        </w:p>
        <w:p w:rsidR="00227042" w:rsidRDefault="00025948">
          <w:pPr>
            <w:pStyle w:val="TOC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178762830" w:history="1">
            <w:r w:rsidR="00227042" w:rsidRPr="00F22517">
              <w:rPr>
                <w:rStyle w:val="Hyperlink"/>
                <w:noProof/>
                <w:lang w:val="hr-HR"/>
              </w:rPr>
              <w:t>1.</w:t>
            </w:r>
            <w:r w:rsidR="00227042">
              <w:rPr>
                <w:rFonts w:eastAsiaTheme="minorEastAsia"/>
                <w:noProof/>
                <w:lang w:val="hr-HR" w:eastAsia="hr-HR"/>
              </w:rPr>
              <w:tab/>
            </w:r>
            <w:r w:rsidR="00227042" w:rsidRPr="00F22517">
              <w:rPr>
                <w:rStyle w:val="Hyperlink"/>
                <w:noProof/>
                <w:lang w:val="hr-HR"/>
              </w:rPr>
              <w:t>UVOD</w:t>
            </w:r>
            <w:r w:rsidR="00227042">
              <w:rPr>
                <w:noProof/>
                <w:webHidden/>
              </w:rPr>
              <w:tab/>
            </w:r>
            <w:r w:rsidR="00227042">
              <w:rPr>
                <w:noProof/>
                <w:webHidden/>
              </w:rPr>
              <w:fldChar w:fldCharType="begin"/>
            </w:r>
            <w:r w:rsidR="00227042">
              <w:rPr>
                <w:noProof/>
                <w:webHidden/>
              </w:rPr>
              <w:instrText xml:space="preserve"> PAGEREF _Toc178762830 \h </w:instrText>
            </w:r>
            <w:r w:rsidR="00227042">
              <w:rPr>
                <w:noProof/>
                <w:webHidden/>
              </w:rPr>
            </w:r>
            <w:r w:rsidR="00227042">
              <w:rPr>
                <w:noProof/>
                <w:webHidden/>
              </w:rPr>
              <w:fldChar w:fldCharType="separate"/>
            </w:r>
            <w:r w:rsidR="0084467C">
              <w:rPr>
                <w:noProof/>
                <w:webHidden/>
              </w:rPr>
              <w:t>3</w:t>
            </w:r>
            <w:r w:rsidR="00227042">
              <w:rPr>
                <w:noProof/>
                <w:webHidden/>
              </w:rPr>
              <w:fldChar w:fldCharType="end"/>
            </w:r>
          </w:hyperlink>
        </w:p>
        <w:p w:rsidR="00227042" w:rsidRDefault="0084467C">
          <w:pPr>
            <w:pStyle w:val="TOC1"/>
            <w:tabs>
              <w:tab w:val="left" w:pos="440"/>
              <w:tab w:val="right" w:leader="dot" w:pos="9062"/>
            </w:tabs>
            <w:rPr>
              <w:rFonts w:eastAsiaTheme="minorEastAsia"/>
              <w:noProof/>
              <w:lang w:val="hr-HR" w:eastAsia="hr-HR"/>
            </w:rPr>
          </w:pPr>
          <w:hyperlink w:anchor="_Toc178762831" w:history="1">
            <w:r w:rsidR="00227042" w:rsidRPr="00F22517">
              <w:rPr>
                <w:rStyle w:val="Hyperlink"/>
                <w:noProof/>
                <w:lang w:val="hr-HR"/>
              </w:rPr>
              <w:t>2.</w:t>
            </w:r>
            <w:r w:rsidR="00227042">
              <w:rPr>
                <w:rFonts w:eastAsiaTheme="minorEastAsia"/>
                <w:noProof/>
                <w:lang w:val="hr-HR" w:eastAsia="hr-HR"/>
              </w:rPr>
              <w:tab/>
            </w:r>
            <w:r w:rsidR="00227042" w:rsidRPr="00F22517">
              <w:rPr>
                <w:rStyle w:val="Hyperlink"/>
                <w:noProof/>
                <w:lang w:val="hr-HR"/>
              </w:rPr>
              <w:t>MAKROEKONOMSKI OKVIR</w:t>
            </w:r>
            <w:r w:rsidR="00227042">
              <w:rPr>
                <w:noProof/>
                <w:webHidden/>
              </w:rPr>
              <w:tab/>
            </w:r>
            <w:r w:rsidR="00227042">
              <w:rPr>
                <w:noProof/>
                <w:webHidden/>
              </w:rPr>
              <w:fldChar w:fldCharType="begin"/>
            </w:r>
            <w:r w:rsidR="00227042">
              <w:rPr>
                <w:noProof/>
                <w:webHidden/>
              </w:rPr>
              <w:instrText xml:space="preserve"> PAGEREF _Toc178762831 \h </w:instrText>
            </w:r>
            <w:r w:rsidR="00227042">
              <w:rPr>
                <w:noProof/>
                <w:webHidden/>
              </w:rPr>
            </w:r>
            <w:r w:rsidR="00227042">
              <w:rPr>
                <w:noProof/>
                <w:webHidden/>
              </w:rPr>
              <w:fldChar w:fldCharType="separate"/>
            </w:r>
            <w:r>
              <w:rPr>
                <w:noProof/>
                <w:webHidden/>
              </w:rPr>
              <w:t>5</w:t>
            </w:r>
            <w:r w:rsidR="00227042">
              <w:rPr>
                <w:noProof/>
                <w:webHidden/>
              </w:rPr>
              <w:fldChar w:fldCharType="end"/>
            </w:r>
          </w:hyperlink>
        </w:p>
        <w:p w:rsidR="00227042" w:rsidRDefault="0084467C">
          <w:pPr>
            <w:pStyle w:val="TOC1"/>
            <w:tabs>
              <w:tab w:val="left" w:pos="440"/>
              <w:tab w:val="right" w:leader="dot" w:pos="9062"/>
            </w:tabs>
            <w:rPr>
              <w:rFonts w:eastAsiaTheme="minorEastAsia"/>
              <w:noProof/>
              <w:lang w:val="hr-HR" w:eastAsia="hr-HR"/>
            </w:rPr>
          </w:pPr>
          <w:hyperlink w:anchor="_Toc178762832" w:history="1">
            <w:r w:rsidR="00227042" w:rsidRPr="00F22517">
              <w:rPr>
                <w:rStyle w:val="Hyperlink"/>
                <w:noProof/>
                <w:lang w:val="hr-HR"/>
              </w:rPr>
              <w:t>3.</w:t>
            </w:r>
            <w:r w:rsidR="00227042">
              <w:rPr>
                <w:rFonts w:eastAsiaTheme="minorEastAsia"/>
                <w:noProof/>
                <w:lang w:val="hr-HR" w:eastAsia="hr-HR"/>
              </w:rPr>
              <w:tab/>
            </w:r>
            <w:r w:rsidR="00227042" w:rsidRPr="00F22517">
              <w:rPr>
                <w:rStyle w:val="Hyperlink"/>
                <w:noProof/>
                <w:lang w:val="hr-HR"/>
              </w:rPr>
              <w:t>PRIHODI DRŽAVNOG PRORAČUNA</w:t>
            </w:r>
            <w:r w:rsidR="00227042">
              <w:rPr>
                <w:noProof/>
                <w:webHidden/>
              </w:rPr>
              <w:tab/>
            </w:r>
            <w:r w:rsidR="00227042">
              <w:rPr>
                <w:noProof/>
                <w:webHidden/>
              </w:rPr>
              <w:fldChar w:fldCharType="begin"/>
            </w:r>
            <w:r w:rsidR="00227042">
              <w:rPr>
                <w:noProof/>
                <w:webHidden/>
              </w:rPr>
              <w:instrText xml:space="preserve"> PAGEREF _Toc178762832 \h </w:instrText>
            </w:r>
            <w:r w:rsidR="00227042">
              <w:rPr>
                <w:noProof/>
                <w:webHidden/>
              </w:rPr>
            </w:r>
            <w:r w:rsidR="00227042">
              <w:rPr>
                <w:noProof/>
                <w:webHidden/>
              </w:rPr>
              <w:fldChar w:fldCharType="separate"/>
            </w:r>
            <w:r>
              <w:rPr>
                <w:noProof/>
                <w:webHidden/>
              </w:rPr>
              <w:t>7</w:t>
            </w:r>
            <w:r w:rsidR="00227042">
              <w:rPr>
                <w:noProof/>
                <w:webHidden/>
              </w:rPr>
              <w:fldChar w:fldCharType="end"/>
            </w:r>
          </w:hyperlink>
        </w:p>
        <w:p w:rsidR="00227042" w:rsidRDefault="0084467C">
          <w:pPr>
            <w:pStyle w:val="TOC1"/>
            <w:tabs>
              <w:tab w:val="left" w:pos="440"/>
              <w:tab w:val="right" w:leader="dot" w:pos="9062"/>
            </w:tabs>
            <w:rPr>
              <w:rFonts w:eastAsiaTheme="minorEastAsia"/>
              <w:noProof/>
              <w:lang w:val="hr-HR" w:eastAsia="hr-HR"/>
            </w:rPr>
          </w:pPr>
          <w:hyperlink w:anchor="_Toc178762833" w:history="1">
            <w:r w:rsidR="00227042" w:rsidRPr="00F22517">
              <w:rPr>
                <w:rStyle w:val="Hyperlink"/>
                <w:noProof/>
                <w:lang w:val="hr-HR"/>
              </w:rPr>
              <w:t>4.</w:t>
            </w:r>
            <w:r w:rsidR="00227042">
              <w:rPr>
                <w:rFonts w:eastAsiaTheme="minorEastAsia"/>
                <w:noProof/>
                <w:lang w:val="hr-HR" w:eastAsia="hr-HR"/>
              </w:rPr>
              <w:tab/>
            </w:r>
            <w:r w:rsidR="00227042" w:rsidRPr="00F22517">
              <w:rPr>
                <w:rStyle w:val="Hyperlink"/>
                <w:noProof/>
                <w:lang w:val="hr-HR"/>
              </w:rPr>
              <w:t>RASHODI DRŽAVNOG PRORAČUNA</w:t>
            </w:r>
            <w:r w:rsidR="00227042">
              <w:rPr>
                <w:noProof/>
                <w:webHidden/>
              </w:rPr>
              <w:tab/>
            </w:r>
            <w:r w:rsidR="00227042">
              <w:rPr>
                <w:noProof/>
                <w:webHidden/>
              </w:rPr>
              <w:fldChar w:fldCharType="begin"/>
            </w:r>
            <w:r w:rsidR="00227042">
              <w:rPr>
                <w:noProof/>
                <w:webHidden/>
              </w:rPr>
              <w:instrText xml:space="preserve"> PAGEREF _Toc178762833 \h </w:instrText>
            </w:r>
            <w:r w:rsidR="00227042">
              <w:rPr>
                <w:noProof/>
                <w:webHidden/>
              </w:rPr>
            </w:r>
            <w:r w:rsidR="00227042">
              <w:rPr>
                <w:noProof/>
                <w:webHidden/>
              </w:rPr>
              <w:fldChar w:fldCharType="separate"/>
            </w:r>
            <w:r>
              <w:rPr>
                <w:noProof/>
                <w:webHidden/>
              </w:rPr>
              <w:t>11</w:t>
            </w:r>
            <w:r w:rsidR="00227042">
              <w:rPr>
                <w:noProof/>
                <w:webHidden/>
              </w:rPr>
              <w:fldChar w:fldCharType="end"/>
            </w:r>
          </w:hyperlink>
        </w:p>
        <w:p w:rsidR="00227042" w:rsidRDefault="0084467C">
          <w:pPr>
            <w:pStyle w:val="TOC2"/>
            <w:tabs>
              <w:tab w:val="left" w:pos="880"/>
              <w:tab w:val="right" w:leader="dot" w:pos="9062"/>
            </w:tabs>
            <w:rPr>
              <w:rFonts w:eastAsiaTheme="minorEastAsia"/>
              <w:noProof/>
              <w:lang w:val="hr-HR" w:eastAsia="hr-HR"/>
            </w:rPr>
          </w:pPr>
          <w:hyperlink w:anchor="_Toc178762834" w:history="1">
            <w:r w:rsidR="00227042" w:rsidRPr="00F22517">
              <w:rPr>
                <w:rStyle w:val="Hyperlink"/>
                <w:rFonts w:cstheme="minorHAnsi"/>
                <w:noProof/>
                <w:lang w:val="hr-HR"/>
              </w:rPr>
              <w:t>4.1.</w:t>
            </w:r>
            <w:r w:rsidR="00227042">
              <w:rPr>
                <w:rFonts w:eastAsiaTheme="minorEastAsia"/>
                <w:noProof/>
                <w:lang w:val="hr-HR" w:eastAsia="hr-HR"/>
              </w:rPr>
              <w:tab/>
            </w:r>
            <w:r w:rsidR="00227042" w:rsidRPr="00F22517">
              <w:rPr>
                <w:rStyle w:val="Hyperlink"/>
                <w:rFonts w:cstheme="minorHAnsi"/>
                <w:noProof/>
                <w:lang w:val="hr-HR"/>
              </w:rPr>
              <w:t>Obrazloženje rashoda po ekonomskoj klasifikaciji</w:t>
            </w:r>
            <w:r w:rsidR="00227042">
              <w:rPr>
                <w:noProof/>
                <w:webHidden/>
              </w:rPr>
              <w:tab/>
            </w:r>
            <w:r w:rsidR="00227042">
              <w:rPr>
                <w:noProof/>
                <w:webHidden/>
              </w:rPr>
              <w:fldChar w:fldCharType="begin"/>
            </w:r>
            <w:r w:rsidR="00227042">
              <w:rPr>
                <w:noProof/>
                <w:webHidden/>
              </w:rPr>
              <w:instrText xml:space="preserve"> PAGEREF _Toc178762834 \h </w:instrText>
            </w:r>
            <w:r w:rsidR="00227042">
              <w:rPr>
                <w:noProof/>
                <w:webHidden/>
              </w:rPr>
            </w:r>
            <w:r w:rsidR="00227042">
              <w:rPr>
                <w:noProof/>
                <w:webHidden/>
              </w:rPr>
              <w:fldChar w:fldCharType="separate"/>
            </w:r>
            <w:r>
              <w:rPr>
                <w:noProof/>
                <w:webHidden/>
              </w:rPr>
              <w:t>12</w:t>
            </w:r>
            <w:r w:rsidR="00227042">
              <w:rPr>
                <w:noProof/>
                <w:webHidden/>
              </w:rPr>
              <w:fldChar w:fldCharType="end"/>
            </w:r>
          </w:hyperlink>
        </w:p>
        <w:p w:rsidR="00227042" w:rsidRDefault="0084467C">
          <w:pPr>
            <w:pStyle w:val="TOC2"/>
            <w:tabs>
              <w:tab w:val="left" w:pos="880"/>
              <w:tab w:val="right" w:leader="dot" w:pos="9062"/>
            </w:tabs>
            <w:rPr>
              <w:rFonts w:eastAsiaTheme="minorEastAsia"/>
              <w:noProof/>
              <w:lang w:val="hr-HR" w:eastAsia="hr-HR"/>
            </w:rPr>
          </w:pPr>
          <w:hyperlink w:anchor="_Toc178762835" w:history="1">
            <w:r w:rsidR="00227042" w:rsidRPr="00F22517">
              <w:rPr>
                <w:rStyle w:val="Hyperlink"/>
                <w:rFonts w:cstheme="minorHAnsi"/>
                <w:noProof/>
                <w:lang w:val="hr-HR"/>
              </w:rPr>
              <w:t>4.2.</w:t>
            </w:r>
            <w:r w:rsidR="00227042">
              <w:rPr>
                <w:rFonts w:eastAsiaTheme="minorEastAsia"/>
                <w:noProof/>
                <w:lang w:val="hr-HR" w:eastAsia="hr-HR"/>
              </w:rPr>
              <w:tab/>
            </w:r>
            <w:r w:rsidR="00227042" w:rsidRPr="00F22517">
              <w:rPr>
                <w:rStyle w:val="Hyperlink"/>
                <w:rFonts w:cstheme="minorHAnsi"/>
                <w:noProof/>
                <w:lang w:val="hr-HR"/>
              </w:rPr>
              <w:t>Obrazloženje rashoda po funkcijskoj klasifikaciji</w:t>
            </w:r>
            <w:r w:rsidR="00227042">
              <w:rPr>
                <w:noProof/>
                <w:webHidden/>
              </w:rPr>
              <w:tab/>
            </w:r>
            <w:r w:rsidR="00227042">
              <w:rPr>
                <w:noProof/>
                <w:webHidden/>
              </w:rPr>
              <w:fldChar w:fldCharType="begin"/>
            </w:r>
            <w:r w:rsidR="00227042">
              <w:rPr>
                <w:noProof/>
                <w:webHidden/>
              </w:rPr>
              <w:instrText xml:space="preserve"> PAGEREF _Toc178762835 \h </w:instrText>
            </w:r>
            <w:r w:rsidR="00227042">
              <w:rPr>
                <w:noProof/>
                <w:webHidden/>
              </w:rPr>
            </w:r>
            <w:r w:rsidR="00227042">
              <w:rPr>
                <w:noProof/>
                <w:webHidden/>
              </w:rPr>
              <w:fldChar w:fldCharType="separate"/>
            </w:r>
            <w:r>
              <w:rPr>
                <w:noProof/>
                <w:webHidden/>
              </w:rPr>
              <w:t>16</w:t>
            </w:r>
            <w:r w:rsidR="00227042">
              <w:rPr>
                <w:noProof/>
                <w:webHidden/>
              </w:rPr>
              <w:fldChar w:fldCharType="end"/>
            </w:r>
          </w:hyperlink>
        </w:p>
        <w:p w:rsidR="00227042" w:rsidRDefault="0084467C">
          <w:pPr>
            <w:pStyle w:val="TOC2"/>
            <w:tabs>
              <w:tab w:val="left" w:pos="880"/>
              <w:tab w:val="right" w:leader="dot" w:pos="9062"/>
            </w:tabs>
            <w:rPr>
              <w:rFonts w:eastAsiaTheme="minorEastAsia"/>
              <w:noProof/>
              <w:lang w:val="hr-HR" w:eastAsia="hr-HR"/>
            </w:rPr>
          </w:pPr>
          <w:hyperlink w:anchor="_Toc178762836" w:history="1">
            <w:r w:rsidR="00227042" w:rsidRPr="00F22517">
              <w:rPr>
                <w:rStyle w:val="Hyperlink"/>
                <w:rFonts w:cstheme="minorHAnsi"/>
                <w:noProof/>
                <w:lang w:val="hr-HR"/>
              </w:rPr>
              <w:t>4.3.</w:t>
            </w:r>
            <w:r w:rsidR="00227042">
              <w:rPr>
                <w:rFonts w:eastAsiaTheme="minorEastAsia"/>
                <w:noProof/>
                <w:lang w:val="hr-HR" w:eastAsia="hr-HR"/>
              </w:rPr>
              <w:tab/>
            </w:r>
            <w:r w:rsidR="00227042" w:rsidRPr="00F22517">
              <w:rPr>
                <w:rStyle w:val="Hyperlink"/>
                <w:rFonts w:cstheme="minorHAnsi"/>
                <w:noProof/>
                <w:lang w:val="hr-HR"/>
              </w:rPr>
              <w:t>Obrazloženje rashoda po izvorima financiranja</w:t>
            </w:r>
            <w:r w:rsidR="00227042">
              <w:rPr>
                <w:noProof/>
                <w:webHidden/>
              </w:rPr>
              <w:tab/>
            </w:r>
            <w:r w:rsidR="00227042">
              <w:rPr>
                <w:noProof/>
                <w:webHidden/>
              </w:rPr>
              <w:fldChar w:fldCharType="begin"/>
            </w:r>
            <w:r w:rsidR="00227042">
              <w:rPr>
                <w:noProof/>
                <w:webHidden/>
              </w:rPr>
              <w:instrText xml:space="preserve"> PAGEREF _Toc178762836 \h </w:instrText>
            </w:r>
            <w:r w:rsidR="00227042">
              <w:rPr>
                <w:noProof/>
                <w:webHidden/>
              </w:rPr>
            </w:r>
            <w:r w:rsidR="00227042">
              <w:rPr>
                <w:noProof/>
                <w:webHidden/>
              </w:rPr>
              <w:fldChar w:fldCharType="separate"/>
            </w:r>
            <w:r>
              <w:rPr>
                <w:noProof/>
                <w:webHidden/>
              </w:rPr>
              <w:t>17</w:t>
            </w:r>
            <w:r w:rsidR="00227042">
              <w:rPr>
                <w:noProof/>
                <w:webHidden/>
              </w:rPr>
              <w:fldChar w:fldCharType="end"/>
            </w:r>
          </w:hyperlink>
        </w:p>
        <w:p w:rsidR="00227042" w:rsidRDefault="0084467C">
          <w:pPr>
            <w:pStyle w:val="TOC1"/>
            <w:tabs>
              <w:tab w:val="left" w:pos="440"/>
              <w:tab w:val="right" w:leader="dot" w:pos="9062"/>
            </w:tabs>
            <w:rPr>
              <w:rFonts w:eastAsiaTheme="minorEastAsia"/>
              <w:noProof/>
              <w:lang w:val="hr-HR" w:eastAsia="hr-HR"/>
            </w:rPr>
          </w:pPr>
          <w:hyperlink w:anchor="_Toc178762837" w:history="1">
            <w:r w:rsidR="00227042" w:rsidRPr="00F22517">
              <w:rPr>
                <w:rStyle w:val="Hyperlink"/>
                <w:noProof/>
                <w:lang w:val="hr-HR"/>
              </w:rPr>
              <w:t>5.</w:t>
            </w:r>
            <w:r w:rsidR="00227042">
              <w:rPr>
                <w:rFonts w:eastAsiaTheme="minorEastAsia"/>
                <w:noProof/>
                <w:lang w:val="hr-HR" w:eastAsia="hr-HR"/>
              </w:rPr>
              <w:tab/>
            </w:r>
            <w:r w:rsidR="00227042" w:rsidRPr="00F22517">
              <w:rPr>
                <w:rStyle w:val="Hyperlink"/>
                <w:noProof/>
                <w:lang w:val="hr-HR"/>
              </w:rPr>
              <w:t>UKUPNI MANJAK DRŽAVNOG PRORAČUNA</w:t>
            </w:r>
            <w:r w:rsidR="00227042">
              <w:rPr>
                <w:noProof/>
                <w:webHidden/>
              </w:rPr>
              <w:tab/>
            </w:r>
            <w:r w:rsidR="00227042">
              <w:rPr>
                <w:noProof/>
                <w:webHidden/>
              </w:rPr>
              <w:fldChar w:fldCharType="begin"/>
            </w:r>
            <w:r w:rsidR="00227042">
              <w:rPr>
                <w:noProof/>
                <w:webHidden/>
              </w:rPr>
              <w:instrText xml:space="preserve"> PAGEREF _Toc178762837 \h </w:instrText>
            </w:r>
            <w:r w:rsidR="00227042">
              <w:rPr>
                <w:noProof/>
                <w:webHidden/>
              </w:rPr>
            </w:r>
            <w:r w:rsidR="00227042">
              <w:rPr>
                <w:noProof/>
                <w:webHidden/>
              </w:rPr>
              <w:fldChar w:fldCharType="separate"/>
            </w:r>
            <w:r>
              <w:rPr>
                <w:noProof/>
                <w:webHidden/>
              </w:rPr>
              <w:t>18</w:t>
            </w:r>
            <w:r w:rsidR="00227042">
              <w:rPr>
                <w:noProof/>
                <w:webHidden/>
              </w:rPr>
              <w:fldChar w:fldCharType="end"/>
            </w:r>
          </w:hyperlink>
        </w:p>
        <w:p w:rsidR="00227042" w:rsidRDefault="0084467C">
          <w:pPr>
            <w:pStyle w:val="TOC1"/>
            <w:tabs>
              <w:tab w:val="left" w:pos="440"/>
              <w:tab w:val="right" w:leader="dot" w:pos="9062"/>
            </w:tabs>
            <w:rPr>
              <w:rFonts w:eastAsiaTheme="minorEastAsia"/>
              <w:noProof/>
              <w:lang w:val="hr-HR" w:eastAsia="hr-HR"/>
            </w:rPr>
          </w:pPr>
          <w:hyperlink w:anchor="_Toc178762838" w:history="1">
            <w:r w:rsidR="00227042" w:rsidRPr="00F22517">
              <w:rPr>
                <w:rStyle w:val="Hyperlink"/>
                <w:noProof/>
                <w:lang w:val="hr-HR"/>
              </w:rPr>
              <w:t>6.</w:t>
            </w:r>
            <w:r w:rsidR="00227042">
              <w:rPr>
                <w:rFonts w:eastAsiaTheme="minorEastAsia"/>
                <w:noProof/>
                <w:lang w:val="hr-HR" w:eastAsia="hr-HR"/>
              </w:rPr>
              <w:tab/>
            </w:r>
            <w:r w:rsidR="00227042" w:rsidRPr="00F22517">
              <w:rPr>
                <w:rStyle w:val="Hyperlink"/>
                <w:noProof/>
                <w:lang w:val="hr-HR"/>
              </w:rPr>
              <w:t>RAČUN FINANCIRANJA DRŽAVNOG PRORAČUNA</w:t>
            </w:r>
            <w:r w:rsidR="00227042">
              <w:rPr>
                <w:noProof/>
                <w:webHidden/>
              </w:rPr>
              <w:tab/>
            </w:r>
            <w:r w:rsidR="00227042">
              <w:rPr>
                <w:noProof/>
                <w:webHidden/>
              </w:rPr>
              <w:fldChar w:fldCharType="begin"/>
            </w:r>
            <w:r w:rsidR="00227042">
              <w:rPr>
                <w:noProof/>
                <w:webHidden/>
              </w:rPr>
              <w:instrText xml:space="preserve"> PAGEREF _Toc178762838 \h </w:instrText>
            </w:r>
            <w:r w:rsidR="00227042">
              <w:rPr>
                <w:noProof/>
                <w:webHidden/>
              </w:rPr>
            </w:r>
            <w:r w:rsidR="00227042">
              <w:rPr>
                <w:noProof/>
                <w:webHidden/>
              </w:rPr>
              <w:fldChar w:fldCharType="separate"/>
            </w:r>
            <w:r>
              <w:rPr>
                <w:noProof/>
                <w:webHidden/>
              </w:rPr>
              <w:t>19</w:t>
            </w:r>
            <w:r w:rsidR="00227042">
              <w:rPr>
                <w:noProof/>
                <w:webHidden/>
              </w:rPr>
              <w:fldChar w:fldCharType="end"/>
            </w:r>
          </w:hyperlink>
        </w:p>
        <w:p w:rsidR="00227042" w:rsidRDefault="0084467C">
          <w:pPr>
            <w:pStyle w:val="TOC1"/>
            <w:tabs>
              <w:tab w:val="left" w:pos="440"/>
              <w:tab w:val="right" w:leader="dot" w:pos="9062"/>
            </w:tabs>
            <w:rPr>
              <w:rFonts w:eastAsiaTheme="minorEastAsia"/>
              <w:noProof/>
              <w:lang w:val="hr-HR" w:eastAsia="hr-HR"/>
            </w:rPr>
          </w:pPr>
          <w:hyperlink w:anchor="_Toc178762839" w:history="1">
            <w:r w:rsidR="00227042" w:rsidRPr="00F22517">
              <w:rPr>
                <w:rStyle w:val="Hyperlink"/>
                <w:noProof/>
                <w:lang w:val="hr-HR"/>
              </w:rPr>
              <w:t>7.</w:t>
            </w:r>
            <w:r w:rsidR="00227042">
              <w:rPr>
                <w:rFonts w:eastAsiaTheme="minorEastAsia"/>
                <w:noProof/>
                <w:lang w:val="hr-HR" w:eastAsia="hr-HR"/>
              </w:rPr>
              <w:tab/>
            </w:r>
            <w:r w:rsidR="00227042" w:rsidRPr="00F22517">
              <w:rPr>
                <w:rStyle w:val="Hyperlink"/>
                <w:noProof/>
                <w:lang w:val="hr-HR"/>
              </w:rPr>
              <w:t>PROCJENA UKUPNOG MANJKA PRORAČUNA OPĆE DRŽAVE</w:t>
            </w:r>
            <w:r w:rsidR="00227042">
              <w:rPr>
                <w:noProof/>
                <w:webHidden/>
              </w:rPr>
              <w:tab/>
            </w:r>
            <w:r w:rsidR="00227042">
              <w:rPr>
                <w:noProof/>
                <w:webHidden/>
              </w:rPr>
              <w:fldChar w:fldCharType="begin"/>
            </w:r>
            <w:r w:rsidR="00227042">
              <w:rPr>
                <w:noProof/>
                <w:webHidden/>
              </w:rPr>
              <w:instrText xml:space="preserve"> PAGEREF _Toc178762839 \h </w:instrText>
            </w:r>
            <w:r w:rsidR="00227042">
              <w:rPr>
                <w:noProof/>
                <w:webHidden/>
              </w:rPr>
            </w:r>
            <w:r w:rsidR="00227042">
              <w:rPr>
                <w:noProof/>
                <w:webHidden/>
              </w:rPr>
              <w:fldChar w:fldCharType="separate"/>
            </w:r>
            <w:r>
              <w:rPr>
                <w:noProof/>
                <w:webHidden/>
              </w:rPr>
              <w:t>21</w:t>
            </w:r>
            <w:r w:rsidR="00227042">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p>
    <w:p w:rsidR="00025948" w:rsidRPr="009B5CBF" w:rsidRDefault="00025948" w:rsidP="00025948">
      <w:pPr>
        <w:rPr>
          <w:lang w:val="hr-HR"/>
        </w:rPr>
      </w:pPr>
      <w:r w:rsidRPr="009B5CBF">
        <w:rPr>
          <w:lang w:val="hr-HR"/>
        </w:rPr>
        <w:br w:type="page"/>
      </w:r>
    </w:p>
    <w:p w:rsidR="008F77E8" w:rsidRDefault="00025948" w:rsidP="0033243E">
      <w:pPr>
        <w:pStyle w:val="Heading1"/>
        <w:numPr>
          <w:ilvl w:val="0"/>
          <w:numId w:val="1"/>
        </w:numPr>
        <w:spacing w:after="240"/>
        <w:rPr>
          <w:lang w:val="hr-HR"/>
        </w:rPr>
      </w:pPr>
      <w:bookmarkStart w:id="1" w:name="_Toc468888687"/>
      <w:bookmarkStart w:id="2" w:name="_Toc178762830"/>
      <w:r w:rsidRPr="009B5CBF">
        <w:rPr>
          <w:lang w:val="hr-HR"/>
        </w:rPr>
        <w:lastRenderedPageBreak/>
        <w:t>UVOD</w:t>
      </w:r>
      <w:bookmarkEnd w:id="1"/>
      <w:bookmarkEnd w:id="2"/>
    </w:p>
    <w:p w:rsidR="00530EA6" w:rsidRPr="00530EA6" w:rsidRDefault="00530EA6" w:rsidP="00530EA6">
      <w:pPr>
        <w:rPr>
          <w:lang w:val="hr-HR"/>
        </w:rPr>
      </w:pPr>
    </w:p>
    <w:p w:rsidR="007B291C" w:rsidRDefault="007B291C" w:rsidP="007B291C">
      <w:pPr>
        <w:spacing w:after="160"/>
        <w:jc w:val="both"/>
        <w:rPr>
          <w:lang w:val="hr-HR"/>
        </w:rPr>
      </w:pPr>
      <w:r w:rsidRPr="008F77E8">
        <w:rPr>
          <w:lang w:val="hr-HR"/>
        </w:rPr>
        <w:t xml:space="preserve">Makro-fiskalni okvir Republike Hrvatske definiran </w:t>
      </w:r>
      <w:r>
        <w:rPr>
          <w:lang w:val="hr-HR"/>
        </w:rPr>
        <w:t xml:space="preserve">Izmjenama i dopunama Državnog proračuna za 2024. godinu karakterizira nastavak povoljnih kretanja u hrvatskom gospodarstvu, </w:t>
      </w:r>
      <w:r w:rsidRPr="008F77E8">
        <w:rPr>
          <w:lang w:val="hr-HR"/>
        </w:rPr>
        <w:t xml:space="preserve">posebice u odnosu na projekcije definirane </w:t>
      </w:r>
      <w:r>
        <w:rPr>
          <w:lang w:val="hr-HR"/>
        </w:rPr>
        <w:t xml:space="preserve">Prijedlogom državnog proračuna i financijskih planova izvanproračunskih korisnika za 2024. </w:t>
      </w:r>
      <w:r w:rsidRPr="006B0BBD">
        <w:rPr>
          <w:lang w:val="hr-HR"/>
        </w:rPr>
        <w:t xml:space="preserve">godinu iz studenoga 2023. Tako se u ovoj godini očekuje ubrzanje realnog rasta BDP-a na 3,6%, nakon rasta od 3,1% ostvarenog u prošloj godini. Dok će osobna potrošnja i bruto investicije u fiksni kapital biti glavni pokretači rasta gospodarske aktivnosti, pozitivan doprinos očekuje se i od državne potrošnje te promjene zaliha. U istom razdoblju predviđa se i usporavanje inflacije mjerene indeksom potrošačkih cijena na </w:t>
      </w:r>
      <w:r w:rsidR="00802489">
        <w:rPr>
          <w:lang w:val="hr-HR"/>
        </w:rPr>
        <w:t>3</w:t>
      </w:r>
      <w:r w:rsidRPr="006B0BBD">
        <w:rPr>
          <w:lang w:val="hr-HR"/>
        </w:rPr>
        <w:t>%, zbog slabljenja rasta cijena hrane kao i temeljne inflacije. Tržište rada karakterizira nastavak povoljnih očekivanja u uvjetima neravnoteža</w:t>
      </w:r>
      <w:r>
        <w:rPr>
          <w:lang w:val="hr-HR"/>
        </w:rPr>
        <w:t xml:space="preserve"> između ponude i potražnje za radom te povoljnih trendova migracijskog salda. Navedeni čimbenici doprinose nastavku snažnog rasta plaća i zaposlenosti. </w:t>
      </w:r>
    </w:p>
    <w:p w:rsidR="007B291C" w:rsidRDefault="007B291C" w:rsidP="007B291C">
      <w:pPr>
        <w:spacing w:after="160"/>
        <w:jc w:val="both"/>
        <w:rPr>
          <w:lang w:val="hr-HR"/>
        </w:rPr>
      </w:pPr>
      <w:r w:rsidRPr="008F77E8">
        <w:rPr>
          <w:lang w:val="hr-HR"/>
        </w:rPr>
        <w:t>Ovako projicirana makroekonomska kretanja odražavaju se i u očekivanom kretanju fiskalnih pokazatelja.</w:t>
      </w:r>
      <w:r>
        <w:rPr>
          <w:lang w:val="hr-HR"/>
        </w:rPr>
        <w:t xml:space="preserve"> </w:t>
      </w:r>
      <w:r w:rsidRPr="008F77E8">
        <w:rPr>
          <w:lang w:val="hr-HR"/>
        </w:rPr>
        <w:t>Tako je prihodna strana proračuna određena kretanjem gospodarske aktivnosti,</w:t>
      </w:r>
      <w:r>
        <w:rPr>
          <w:lang w:val="hr-HR"/>
        </w:rPr>
        <w:t xml:space="preserve"> cjelogodišnjim učinkom mjera Vlade RH u svrhu zaštite kućanstava i gospodarstva od rasta cijena te učinkom porezne reforme u sustavu doprinosa za mirovinsko osiguranje koje je stupilo na snagu početkom godine. Značajan učinak na prihode proračuna imaju i sredstva pomoći institucija i tijela EU, posebice </w:t>
      </w:r>
      <w:r w:rsidRPr="005572A2">
        <w:rPr>
          <w:lang w:val="hr-HR"/>
        </w:rPr>
        <w:t>vezano uz novi Višegodišnji financijski okvir za razdoblje 2021.-2027. te Mehanizam za oporavak i otpornost. Ovim Izmjenama i dopunama Državnog proračuna za 2024. godinu ukupni prihodi povećavaju za 1,8 milijardi eura, s 28,5 milijardi eura na 30,3 milijardi eura. Navedeno povećanje prvenstveno se temelji na rastu poreznih prihoda te doprinosa. Predviđeni rast poreza</w:t>
      </w:r>
      <w:r>
        <w:rPr>
          <w:lang w:val="hr-HR"/>
        </w:rPr>
        <w:t xml:space="preserve"> na dobit rezultat je poslovanja poduzeća i banaka u prethodnoj godini tj. uplate poreza na dobit krajem travnja ove godine. Projekcija rasta prihoda od PDV-a temelji se na očekivanom kretanju osobne i turističke potrošnje, intermedijarne potrošnje, investicija te socijalnih transfera u naravi. Porast originalne projekcije posebnih poreza i trošarina definiran je očekivanim kretanjem potrošnje pojedinih trošarinskih proizvoda, uzevši u obzir očekivane učinke izmjena propisa vezano uz oporezivanje energenata i električne energije. Rast doprinosa, pak, projiciran je temeljem dosadašnje dinamike prihoda po ovoj osnovi te očekivanih kretanja na tržištu rada, odnosno predviđenog rasta plaća i zaposlenosti. </w:t>
      </w:r>
    </w:p>
    <w:p w:rsidR="007B291C" w:rsidRDefault="007B291C" w:rsidP="007B291C">
      <w:pPr>
        <w:spacing w:after="160"/>
        <w:jc w:val="both"/>
        <w:rPr>
          <w:lang w:val="hr-HR"/>
        </w:rPr>
      </w:pPr>
      <w:r>
        <w:rPr>
          <w:lang w:val="hr-HR"/>
        </w:rPr>
        <w:t xml:space="preserve">Promatrano s rashodne strane, </w:t>
      </w:r>
      <w:r w:rsidRPr="008F77E8">
        <w:rPr>
          <w:lang w:val="hr-HR"/>
        </w:rPr>
        <w:t xml:space="preserve">Izmjenama i dopunama </w:t>
      </w:r>
      <w:r>
        <w:rPr>
          <w:lang w:val="hr-HR"/>
        </w:rPr>
        <w:t>D</w:t>
      </w:r>
      <w:r w:rsidRPr="008F77E8">
        <w:rPr>
          <w:lang w:val="hr-HR"/>
        </w:rPr>
        <w:t>ržavnog proračuna z</w:t>
      </w:r>
      <w:r>
        <w:rPr>
          <w:lang w:val="hr-HR"/>
        </w:rPr>
        <w:t>a 2024</w:t>
      </w:r>
      <w:r w:rsidRPr="008F77E8">
        <w:rPr>
          <w:lang w:val="hr-HR"/>
        </w:rPr>
        <w:t xml:space="preserve">. godinu ukupni rashodi povećavaju se za </w:t>
      </w:r>
      <w:r>
        <w:rPr>
          <w:lang w:val="hr-HR"/>
        </w:rPr>
        <w:t>975,6 milijuna eura, odnosno s 32,6</w:t>
      </w:r>
      <w:r w:rsidRPr="008F77E8">
        <w:rPr>
          <w:lang w:val="hr-HR"/>
        </w:rPr>
        <w:t xml:space="preserve"> </w:t>
      </w:r>
      <w:r>
        <w:rPr>
          <w:lang w:val="hr-HR"/>
        </w:rPr>
        <w:t>milijarde eura na 33,6 milijarde</w:t>
      </w:r>
      <w:r w:rsidRPr="008F77E8">
        <w:rPr>
          <w:lang w:val="hr-HR"/>
        </w:rPr>
        <w:t xml:space="preserve"> eura</w:t>
      </w:r>
      <w:r>
        <w:rPr>
          <w:lang w:val="hr-HR"/>
        </w:rPr>
        <w:t xml:space="preserve">. Pritom se rashodi financirani iz općih prihoda i primitaka, doprinosa i namjenskih primitaka povećavaju za 1,1 milijardu eura, a rashodi financirani iz Europske unije i ostalih izvora smanjuju se za 139,6 milijuna eura. Najznačajnija kretanja na stavkama rashoda definirana su nastavkom provedbe reformskih napora (izmjene u sustavu plaća u državnoj i javnoj upravi, obnova građevina oštećenih potresom) te aktivnosti za zaštitu kućanstava i gospodarstva od cjenovnih pritisak i pružanjem potpore najosjetljivijim dijelovima društva. Tako se unutar rashoda financiranih iz općih prihoda i primitaka, doprinosa i namjenskih primitaka izdvajaju dodatna sredstva za provedbu aktivnosti iz 6. i 7. paketa mjera Vlade RH za zaštitu građana i gospodarstva od cjenovnih pritisaka (posebice vezano uz nadoknadu razlike cijena energenata opskrbljivačima) te sredstva za cjelovitu reformu sustava plaća. Potom valja spomenuti i izdvajanja u svrhu daljnje sanacije šteta od potresa, za socijalne pomoći i </w:t>
      </w:r>
      <w:r>
        <w:rPr>
          <w:lang w:val="hr-HR"/>
        </w:rPr>
        <w:lastRenderedPageBreak/>
        <w:t xml:space="preserve">naknade (primjerice inkluzivni dodatak, zajamčena minimalna naknada, roditelji njegovatelji, udomiteljske obitelji) i demografske mjere. Nadalje, osiguravaju se i dodatni resursi za obrambenu spremnost, infrastrukturu te ublažavanje šteta nastalih prirodnim nepogodama. Istovremeno se rashodi financirani iz EU izvora usklađuju s dinamikom provedbe projekata kod krajnjih korisnika. </w:t>
      </w:r>
    </w:p>
    <w:p w:rsidR="00D46AB0" w:rsidRDefault="007B291C" w:rsidP="007B291C">
      <w:pPr>
        <w:spacing w:after="160"/>
        <w:jc w:val="both"/>
        <w:rPr>
          <w:lang w:val="hr-HR"/>
        </w:rPr>
      </w:pPr>
      <w:r w:rsidRPr="008F77E8">
        <w:rPr>
          <w:lang w:val="hr-HR"/>
        </w:rPr>
        <w:t xml:space="preserve">Sukladno </w:t>
      </w:r>
      <w:r>
        <w:rPr>
          <w:lang w:val="hr-HR"/>
        </w:rPr>
        <w:t>prethodno opisanim</w:t>
      </w:r>
      <w:r w:rsidRPr="008F77E8">
        <w:rPr>
          <w:lang w:val="hr-HR"/>
        </w:rPr>
        <w:t xml:space="preserve"> kretanjima prihoda i rashoda, očekuje se da će manjak </w:t>
      </w:r>
      <w:r>
        <w:rPr>
          <w:lang w:val="hr-HR"/>
        </w:rPr>
        <w:t>opće države (prema ESA 2010 metodologiji) iznositi 2,6 % BDP-a u ovoj godini, dok će se istovremeno udio javnog duga u BDP-u smanjiti za 4,2 postotna boda u odnosu na prethodnu godinu te će pasti ispod EU referentne vrijednosti od 60%, spustivši se na 58,9%.</w:t>
      </w:r>
    </w:p>
    <w:p w:rsidR="00D46AB0" w:rsidRDefault="00D46AB0">
      <w:pPr>
        <w:rPr>
          <w:lang w:val="hr-HR"/>
        </w:rPr>
      </w:pPr>
      <w:r>
        <w:rPr>
          <w:lang w:val="hr-HR"/>
        </w:rPr>
        <w:br w:type="page"/>
      </w:r>
    </w:p>
    <w:p w:rsidR="00025948" w:rsidRPr="009B5CBF" w:rsidRDefault="00025948" w:rsidP="00025948">
      <w:pPr>
        <w:pStyle w:val="Heading1"/>
        <w:numPr>
          <w:ilvl w:val="0"/>
          <w:numId w:val="1"/>
        </w:numPr>
        <w:rPr>
          <w:lang w:val="hr-HR"/>
        </w:rPr>
      </w:pPr>
      <w:bookmarkStart w:id="3" w:name="_Toc381720705"/>
      <w:bookmarkStart w:id="4" w:name="_Toc497069941"/>
      <w:bookmarkStart w:id="5" w:name="_Toc178762831"/>
      <w:r w:rsidRPr="009B5CBF">
        <w:rPr>
          <w:lang w:val="hr-HR"/>
        </w:rPr>
        <w:lastRenderedPageBreak/>
        <w:t>MAKROEKONOMSKI OKVIR</w:t>
      </w:r>
      <w:bookmarkEnd w:id="3"/>
      <w:bookmarkEnd w:id="4"/>
      <w:bookmarkEnd w:id="5"/>
    </w:p>
    <w:p w:rsidR="004C0D92" w:rsidRDefault="004C0D92" w:rsidP="00196F0D">
      <w:pPr>
        <w:jc w:val="both"/>
        <w:rPr>
          <w:rFonts w:cs="Times New Roman"/>
          <w:lang w:val="hr-HR"/>
        </w:rPr>
      </w:pPr>
    </w:p>
    <w:p w:rsidR="00F62411" w:rsidRPr="00B13B88" w:rsidRDefault="00F62411" w:rsidP="00F62411">
      <w:pPr>
        <w:jc w:val="both"/>
        <w:rPr>
          <w:lang w:val="hr-HR"/>
        </w:rPr>
      </w:pPr>
      <w:bookmarkStart w:id="6" w:name="_Toc6418609"/>
      <w:r w:rsidRPr="00B13B88">
        <w:rPr>
          <w:lang w:val="hr-HR"/>
        </w:rPr>
        <w:t>Makroekonomski okvir sastavljen je u rujnu ove godine. Vanjske pretpostavke za izradu makroekonomskih projekcija preuzete su iz projekcija Europske središnje banke (</w:t>
      </w:r>
      <w:r w:rsidRPr="00B13B88">
        <w:rPr>
          <w:i/>
          <w:lang w:val="hr-HR"/>
        </w:rPr>
        <w:t>ECB staff macroeconomic projections for the euro area, September 2024</w:t>
      </w:r>
      <w:r w:rsidRPr="00B13B88">
        <w:rPr>
          <w:lang w:val="hr-HR"/>
        </w:rPr>
        <w:t>) i Consensus Forecasts (</w:t>
      </w:r>
      <w:r w:rsidRPr="00B13B88">
        <w:rPr>
          <w:i/>
          <w:lang w:val="hr-HR"/>
        </w:rPr>
        <w:t>Eastern Europe i G-7 &amp; Western Europe</w:t>
      </w:r>
      <w:r w:rsidRPr="00B13B88">
        <w:rPr>
          <w:lang w:val="hr-HR"/>
        </w:rPr>
        <w:t>).</w:t>
      </w:r>
      <w:r w:rsidRPr="00B13B88">
        <w:rPr>
          <w:i/>
          <w:lang w:val="hr-HR"/>
        </w:rPr>
        <w:t xml:space="preserve"> </w:t>
      </w:r>
    </w:p>
    <w:p w:rsidR="00F62411" w:rsidRPr="00B13B88" w:rsidRDefault="00F62411" w:rsidP="002D5B5F">
      <w:pPr>
        <w:spacing w:after="120"/>
        <w:jc w:val="both"/>
        <w:rPr>
          <w:rFonts w:ascii="Calibri" w:eastAsia="Calibri" w:hAnsi="Calibri" w:cs="Times New Roman"/>
          <w:b/>
          <w:bCs/>
          <w:i/>
          <w:color w:val="4F81BD"/>
          <w:sz w:val="24"/>
          <w:szCs w:val="18"/>
          <w:lang w:val="hr-HR"/>
        </w:rPr>
      </w:pPr>
      <w:r w:rsidRPr="00B13B88">
        <w:rPr>
          <w:rFonts w:ascii="Calibri" w:eastAsia="Calibri" w:hAnsi="Calibri" w:cs="Times New Roman"/>
          <w:b/>
          <w:bCs/>
          <w:i/>
          <w:color w:val="4F81BD"/>
          <w:sz w:val="24"/>
          <w:szCs w:val="18"/>
          <w:lang w:val="hr-HR"/>
        </w:rPr>
        <w:t>Tablica</w:t>
      </w:r>
      <w:r w:rsidRPr="00B13B88">
        <w:rPr>
          <w:rFonts w:ascii="Calibri" w:eastAsia="Calibri" w:hAnsi="Calibri" w:cs="Times New Roman"/>
          <w:b/>
          <w:bCs/>
          <w:i/>
          <w:color w:val="4F81BD"/>
          <w:sz w:val="24"/>
          <w:szCs w:val="18"/>
          <w:lang w:val="hr-HR"/>
        </w:rPr>
        <w:fldChar w:fldCharType="begin"/>
      </w:r>
      <w:r w:rsidRPr="00B13B88">
        <w:rPr>
          <w:rFonts w:ascii="Calibri" w:eastAsia="Calibri" w:hAnsi="Calibri" w:cs="Times New Roman"/>
          <w:b/>
          <w:bCs/>
          <w:i/>
          <w:color w:val="4F81BD"/>
          <w:sz w:val="24"/>
          <w:szCs w:val="18"/>
          <w:lang w:val="hr-HR"/>
        </w:rPr>
        <w:instrText xml:space="preserve"> SEQ Tablica \* ARABIC </w:instrText>
      </w:r>
      <w:r w:rsidRPr="00B13B88">
        <w:rPr>
          <w:rFonts w:ascii="Calibri" w:eastAsia="Calibri" w:hAnsi="Calibri" w:cs="Times New Roman"/>
          <w:b/>
          <w:bCs/>
          <w:i/>
          <w:color w:val="4F81BD"/>
          <w:sz w:val="24"/>
          <w:szCs w:val="18"/>
          <w:lang w:val="hr-HR"/>
        </w:rPr>
        <w:fldChar w:fldCharType="separate"/>
      </w:r>
      <w:r w:rsidR="0084467C">
        <w:rPr>
          <w:rFonts w:ascii="Calibri" w:eastAsia="Calibri" w:hAnsi="Calibri" w:cs="Times New Roman"/>
          <w:b/>
          <w:bCs/>
          <w:i/>
          <w:noProof/>
          <w:color w:val="4F81BD"/>
          <w:sz w:val="24"/>
          <w:szCs w:val="18"/>
          <w:lang w:val="hr-HR"/>
        </w:rPr>
        <w:t>1</w:t>
      </w:r>
      <w:r w:rsidRPr="00B13B88">
        <w:rPr>
          <w:rFonts w:ascii="Calibri" w:eastAsia="Calibri" w:hAnsi="Calibri" w:cs="Times New Roman"/>
          <w:b/>
          <w:bCs/>
          <w:i/>
          <w:color w:val="4F81BD"/>
          <w:sz w:val="24"/>
          <w:szCs w:val="18"/>
          <w:lang w:val="hr-HR"/>
        </w:rPr>
        <w:fldChar w:fldCharType="end"/>
      </w:r>
      <w:r w:rsidRPr="00B13B88">
        <w:rPr>
          <w:rFonts w:ascii="Calibri" w:eastAsia="Calibri" w:hAnsi="Calibri" w:cs="Times New Roman"/>
          <w:b/>
          <w:bCs/>
          <w:i/>
          <w:color w:val="4F81BD"/>
          <w:sz w:val="24"/>
          <w:szCs w:val="18"/>
          <w:lang w:val="hr-HR"/>
        </w:rPr>
        <w:t>: Kretanja makroekonomskih pokazatelja Republike Hrvatske</w:t>
      </w:r>
      <w:r w:rsidRPr="00B13B88">
        <w:rPr>
          <w:rFonts w:ascii="Calibri" w:eastAsia="Calibri" w:hAnsi="Calibri" w:cs="Times New Roman"/>
          <w:b/>
          <w:bCs/>
          <w:i/>
          <w:color w:val="4F81BD"/>
          <w:sz w:val="24"/>
          <w:szCs w:val="18"/>
          <w:lang w:val="hr-HR"/>
        </w:rPr>
        <w:tab/>
      </w:r>
    </w:p>
    <w:p w:rsidR="00F62411" w:rsidRPr="00B13B88" w:rsidRDefault="00F62411" w:rsidP="00F62411">
      <w:pPr>
        <w:jc w:val="both"/>
        <w:rPr>
          <w:lang w:val="hr-HR"/>
        </w:rPr>
      </w:pPr>
      <w:r w:rsidRPr="00B13B88">
        <w:rPr>
          <w:noProof/>
          <w:lang w:val="hr-HR" w:eastAsia="hr-HR"/>
        </w:rPr>
        <w:drawing>
          <wp:inline distT="0" distB="0" distL="0" distR="0" wp14:anchorId="34F00C67" wp14:editId="78188D0D">
            <wp:extent cx="4981575" cy="2457450"/>
            <wp:effectExtent l="0" t="0" r="952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1575" cy="2457450"/>
                    </a:xfrm>
                    <a:prstGeom prst="rect">
                      <a:avLst/>
                    </a:prstGeom>
                    <a:noFill/>
                    <a:ln>
                      <a:noFill/>
                    </a:ln>
                  </pic:spPr>
                </pic:pic>
              </a:graphicData>
            </a:graphic>
          </wp:inline>
        </w:drawing>
      </w:r>
      <w:r w:rsidRPr="00B13B88">
        <w:rPr>
          <w:rFonts w:ascii="Calibri" w:eastAsia="Calibri" w:hAnsi="Calibri" w:cs="Times New Roman"/>
          <w:b/>
          <w:bCs/>
          <w:i/>
          <w:color w:val="4F81BD"/>
          <w:sz w:val="24"/>
          <w:szCs w:val="18"/>
          <w:lang w:val="hr-HR"/>
        </w:rPr>
        <w:br/>
      </w:r>
    </w:p>
    <w:p w:rsidR="00F62411" w:rsidRDefault="00F62411" w:rsidP="00F62411">
      <w:pPr>
        <w:jc w:val="both"/>
        <w:rPr>
          <w:lang w:val="hr-HR"/>
        </w:rPr>
      </w:pPr>
      <w:r w:rsidRPr="00B13B88">
        <w:rPr>
          <w:lang w:val="hr-HR"/>
        </w:rPr>
        <w:t>Tijekom 2023. godin</w:t>
      </w:r>
      <w:r w:rsidR="00D46AB0">
        <w:rPr>
          <w:lang w:val="hr-HR"/>
        </w:rPr>
        <w:t>e</w:t>
      </w:r>
      <w:r w:rsidRPr="00B13B88">
        <w:rPr>
          <w:lang w:val="hr-HR"/>
        </w:rPr>
        <w:t xml:space="preserve"> nastavljen je realn</w:t>
      </w:r>
      <w:r>
        <w:rPr>
          <w:lang w:val="hr-HR"/>
        </w:rPr>
        <w:t xml:space="preserve">i </w:t>
      </w:r>
      <w:r w:rsidRPr="00B13B88">
        <w:rPr>
          <w:lang w:val="hr-HR"/>
        </w:rPr>
        <w:t xml:space="preserve">rast </w:t>
      </w:r>
      <w:r>
        <w:rPr>
          <w:lang w:val="hr-HR"/>
        </w:rPr>
        <w:t>bruto domaćeg proizvoda</w:t>
      </w:r>
      <w:r w:rsidRPr="00B13B88">
        <w:rPr>
          <w:lang w:val="hr-HR"/>
        </w:rPr>
        <w:t xml:space="preserve"> po stopi blago iznad 3%, temeljen na snažnom doprinosu </w:t>
      </w:r>
      <w:r>
        <w:rPr>
          <w:lang w:val="hr-HR"/>
        </w:rPr>
        <w:t xml:space="preserve">domaće potražnje, prvenstveno </w:t>
      </w:r>
      <w:r w:rsidRPr="00B13B88">
        <w:rPr>
          <w:lang w:val="hr-HR"/>
        </w:rPr>
        <w:t xml:space="preserve">osobne </w:t>
      </w:r>
      <w:r>
        <w:rPr>
          <w:lang w:val="hr-HR"/>
        </w:rPr>
        <w:t xml:space="preserve">i državne </w:t>
      </w:r>
      <w:r w:rsidRPr="00B13B88">
        <w:rPr>
          <w:lang w:val="hr-HR"/>
        </w:rPr>
        <w:t xml:space="preserve">potrošnje. U uvjetima </w:t>
      </w:r>
      <w:r>
        <w:rPr>
          <w:lang w:val="hr-HR"/>
        </w:rPr>
        <w:t>usporav</w:t>
      </w:r>
      <w:r w:rsidRPr="00B13B88">
        <w:rPr>
          <w:lang w:val="hr-HR"/>
        </w:rPr>
        <w:t xml:space="preserve">ajuće inflacije </w:t>
      </w:r>
      <w:r>
        <w:rPr>
          <w:lang w:val="hr-HR"/>
        </w:rPr>
        <w:t xml:space="preserve">kao </w:t>
      </w:r>
      <w:r w:rsidRPr="00B13B88">
        <w:rPr>
          <w:lang w:val="hr-HR"/>
        </w:rPr>
        <w:t xml:space="preserve">i </w:t>
      </w:r>
      <w:r>
        <w:rPr>
          <w:lang w:val="hr-HR"/>
        </w:rPr>
        <w:t xml:space="preserve">dalje </w:t>
      </w:r>
      <w:r w:rsidRPr="00187754">
        <w:rPr>
          <w:lang w:val="hr-HR"/>
        </w:rPr>
        <w:t>relativno prigušene dinamike vanjske potražnje, u prvoj</w:t>
      </w:r>
      <w:r w:rsidRPr="00B13B88">
        <w:rPr>
          <w:lang w:val="hr-HR"/>
        </w:rPr>
        <w:t xml:space="preserve"> polovici 2024. godine nastavljena su povoljna</w:t>
      </w:r>
      <w:r w:rsidRPr="00403E8F">
        <w:rPr>
          <w:lang w:val="hr-HR"/>
        </w:rPr>
        <w:t xml:space="preserve"> kretanja u gospodarstvu RH, ponajviše potaknuta rastom osobne potrošnje i </w:t>
      </w:r>
      <w:r>
        <w:rPr>
          <w:lang w:val="hr-HR"/>
        </w:rPr>
        <w:t>investicijama</w:t>
      </w:r>
      <w:r w:rsidRPr="00403E8F">
        <w:rPr>
          <w:lang w:val="hr-HR"/>
        </w:rPr>
        <w:t>. Promatra</w:t>
      </w:r>
      <w:r>
        <w:rPr>
          <w:lang w:val="hr-HR"/>
        </w:rPr>
        <w:t>mo li</w:t>
      </w:r>
      <w:r w:rsidRPr="00403E8F">
        <w:rPr>
          <w:lang w:val="hr-HR"/>
        </w:rPr>
        <w:t xml:space="preserve"> dosad objavljene visoko frekventne pokazatelje, u prvih </w:t>
      </w:r>
      <w:r>
        <w:rPr>
          <w:lang w:val="hr-HR"/>
        </w:rPr>
        <w:t>sedam</w:t>
      </w:r>
      <w:r w:rsidRPr="00403E8F">
        <w:rPr>
          <w:lang w:val="hr-HR"/>
        </w:rPr>
        <w:t xml:space="preserve"> mjeseci 202</w:t>
      </w:r>
      <w:r>
        <w:rPr>
          <w:lang w:val="hr-HR"/>
        </w:rPr>
        <w:t>4</w:t>
      </w:r>
      <w:r w:rsidRPr="00403E8F">
        <w:rPr>
          <w:lang w:val="hr-HR"/>
        </w:rPr>
        <w:t>. ostvaren je rast broja komercijalnih turističkih noćenja od 1,9% u odnosu na isto razdoblje</w:t>
      </w:r>
      <w:r w:rsidRPr="00A15B9D">
        <w:rPr>
          <w:lang w:val="hr-HR"/>
        </w:rPr>
        <w:t xml:space="preserve"> </w:t>
      </w:r>
      <w:r w:rsidRPr="00B13B88">
        <w:rPr>
          <w:lang w:val="hr-HR"/>
        </w:rPr>
        <w:t>prošle godine. Nakon snažnog rasta u prvom tromjesečju ove godine, u narednim mjesecima došlo je do usporavanja rasta prometa u trgovini na malo te je u prvih osam mjeseci 2024. ostvaren realan rast od 7,6%.</w:t>
      </w:r>
      <w:r w:rsidRPr="00A15B9D">
        <w:rPr>
          <w:lang w:val="hr-HR"/>
        </w:rPr>
        <w:t xml:space="preserve"> Obujam građevinskih radova je u prvih sedam mjeseci 202</w:t>
      </w:r>
      <w:r>
        <w:rPr>
          <w:lang w:val="hr-HR"/>
        </w:rPr>
        <w:t>4</w:t>
      </w:r>
      <w:r w:rsidRPr="00A15B9D">
        <w:rPr>
          <w:lang w:val="hr-HR"/>
        </w:rPr>
        <w:t xml:space="preserve">. ostvario rast od </w:t>
      </w:r>
      <w:r>
        <w:rPr>
          <w:lang w:val="hr-HR"/>
        </w:rPr>
        <w:t>14,9</w:t>
      </w:r>
      <w:r w:rsidRPr="00A15B9D">
        <w:rPr>
          <w:lang w:val="hr-HR"/>
        </w:rPr>
        <w:t xml:space="preserve">% u odnosu na isto razdoblje prethodne </w:t>
      </w:r>
      <w:r w:rsidRPr="00B13B88">
        <w:rPr>
          <w:lang w:val="hr-HR"/>
        </w:rPr>
        <w:t>godine. S druge strane, u industriji su nastavljena negativna kretanja započeta krajem prethodne godine, pa je tako obujam industrijske proizvodnje zabilježio pad od 3,3% u prvih osam mjeseci 2024. godine.</w:t>
      </w:r>
      <w:r>
        <w:rPr>
          <w:lang w:val="hr-HR"/>
        </w:rPr>
        <w:t xml:space="preserve"> </w:t>
      </w:r>
      <w:r w:rsidRPr="004310F0">
        <w:rPr>
          <w:lang w:val="hr-HR"/>
        </w:rPr>
        <w:t>Tijekom 202</w:t>
      </w:r>
      <w:r>
        <w:rPr>
          <w:lang w:val="hr-HR"/>
        </w:rPr>
        <w:t>4</w:t>
      </w:r>
      <w:r w:rsidRPr="004310F0">
        <w:rPr>
          <w:lang w:val="hr-HR"/>
        </w:rPr>
        <w:t>. bilježi se usporavanje inflacije potrošačkih cijena</w:t>
      </w:r>
      <w:r>
        <w:rPr>
          <w:lang w:val="hr-HR"/>
        </w:rPr>
        <w:t>,</w:t>
      </w:r>
      <w:r w:rsidRPr="004310F0">
        <w:rPr>
          <w:lang w:val="hr-HR"/>
        </w:rPr>
        <w:t xml:space="preserve"> koja je u </w:t>
      </w:r>
      <w:r>
        <w:rPr>
          <w:lang w:val="hr-HR"/>
        </w:rPr>
        <w:t>kolovozu</w:t>
      </w:r>
      <w:r w:rsidRPr="004310F0">
        <w:rPr>
          <w:lang w:val="hr-HR"/>
        </w:rPr>
        <w:t xml:space="preserve"> dosegnula razinu od </w:t>
      </w:r>
      <w:r>
        <w:rPr>
          <w:lang w:val="hr-HR"/>
        </w:rPr>
        <w:t>1,8</w:t>
      </w:r>
      <w:r w:rsidRPr="004310F0">
        <w:rPr>
          <w:lang w:val="hr-HR"/>
        </w:rPr>
        <w:t>%</w:t>
      </w:r>
      <w:r>
        <w:rPr>
          <w:lang w:val="hr-HR"/>
        </w:rPr>
        <w:t>. Pritom je u</w:t>
      </w:r>
      <w:r w:rsidRPr="004310F0">
        <w:rPr>
          <w:lang w:val="hr-HR"/>
        </w:rPr>
        <w:t>sporavanj</w:t>
      </w:r>
      <w:r>
        <w:rPr>
          <w:lang w:val="hr-HR"/>
        </w:rPr>
        <w:t>e</w:t>
      </w:r>
      <w:r w:rsidRPr="004310F0">
        <w:rPr>
          <w:lang w:val="hr-HR"/>
        </w:rPr>
        <w:t xml:space="preserve"> inflacije </w:t>
      </w:r>
      <w:r>
        <w:rPr>
          <w:lang w:val="hr-HR"/>
        </w:rPr>
        <w:t>bilo najizraženije kod</w:t>
      </w:r>
      <w:r w:rsidRPr="004310F0">
        <w:rPr>
          <w:lang w:val="hr-HR"/>
        </w:rPr>
        <w:t xml:space="preserve"> cijena energije, a trend postupnog usporavanja vidljiv je i kod preostalih komponenata potrošačkih cijena, iako je i nadalje prisutna relativno snažna inflacija cijena hrane te usluga.</w:t>
      </w:r>
      <w:r>
        <w:rPr>
          <w:lang w:val="hr-HR"/>
        </w:rPr>
        <w:t xml:space="preserve"> </w:t>
      </w:r>
      <w:r w:rsidRPr="00167F1B">
        <w:rPr>
          <w:lang w:val="hr-HR"/>
        </w:rPr>
        <w:t xml:space="preserve">Na tržištu rada nastavljena su povoljna kretanja te je broj osiguranika mirovinskog osiguranja u </w:t>
      </w:r>
      <w:r>
        <w:rPr>
          <w:lang w:val="hr-HR"/>
        </w:rPr>
        <w:t>prvih osam mjeseci 2024</w:t>
      </w:r>
      <w:r w:rsidRPr="00167F1B">
        <w:rPr>
          <w:lang w:val="hr-HR"/>
        </w:rPr>
        <w:t xml:space="preserve">. prosječno </w:t>
      </w:r>
      <w:r>
        <w:rPr>
          <w:lang w:val="hr-HR"/>
        </w:rPr>
        <w:t>rastao po međugodišnjoj stopi od</w:t>
      </w:r>
      <w:r w:rsidRPr="00167F1B">
        <w:rPr>
          <w:lang w:val="hr-HR"/>
        </w:rPr>
        <w:t xml:space="preserve"> </w:t>
      </w:r>
      <w:r>
        <w:rPr>
          <w:lang w:val="hr-HR"/>
        </w:rPr>
        <w:t>3,2%</w:t>
      </w:r>
      <w:r w:rsidRPr="00167F1B">
        <w:rPr>
          <w:lang w:val="hr-HR"/>
        </w:rPr>
        <w:t xml:space="preserve">, dok </w:t>
      </w:r>
      <w:r>
        <w:rPr>
          <w:lang w:val="hr-HR"/>
        </w:rPr>
        <w:t>s</w:t>
      </w:r>
      <w:r w:rsidRPr="00167F1B">
        <w:rPr>
          <w:lang w:val="hr-HR"/>
        </w:rPr>
        <w:t xml:space="preserve">e </w:t>
      </w:r>
      <w:r w:rsidRPr="004310F0">
        <w:rPr>
          <w:lang w:val="hr-HR"/>
        </w:rPr>
        <w:t xml:space="preserve">administrativna stopa nezaposlenosti </w:t>
      </w:r>
      <w:r>
        <w:rPr>
          <w:lang w:val="hr-HR"/>
        </w:rPr>
        <w:t>nalazi na povijesno niskim razinama</w:t>
      </w:r>
      <w:r w:rsidRPr="004310F0">
        <w:rPr>
          <w:lang w:val="hr-HR"/>
        </w:rPr>
        <w:t xml:space="preserve">. </w:t>
      </w:r>
    </w:p>
    <w:bookmarkEnd w:id="6"/>
    <w:p w:rsidR="00F62411" w:rsidRPr="00A15B9D" w:rsidRDefault="007C7513" w:rsidP="00F62411">
      <w:pPr>
        <w:jc w:val="both"/>
        <w:rPr>
          <w:rFonts w:eastAsia="Times New Roman" w:cs="Times New Roman"/>
          <w:lang w:val="hr-HR"/>
        </w:rPr>
      </w:pPr>
      <w:r w:rsidRPr="00187754">
        <w:rPr>
          <w:lang w:val="hr-HR"/>
        </w:rPr>
        <w:lastRenderedPageBreak/>
        <w:t xml:space="preserve">Temeljem dostupnih makroekonomskih pokazatelja za domaće gospodarstvo i međunarodno okruženje, u 2024. prognozira se realni rast BDP-a od </w:t>
      </w:r>
      <w:r>
        <w:rPr>
          <w:lang w:val="hr-HR"/>
        </w:rPr>
        <w:t>3</w:t>
      </w:r>
      <w:r w:rsidRPr="00187754">
        <w:rPr>
          <w:lang w:val="hr-HR"/>
        </w:rPr>
        <w:t>,</w:t>
      </w:r>
      <w:r>
        <w:rPr>
          <w:lang w:val="hr-HR"/>
        </w:rPr>
        <w:t>6</w:t>
      </w:r>
      <w:r w:rsidRPr="00187754">
        <w:rPr>
          <w:lang w:val="hr-HR"/>
        </w:rPr>
        <w:t>%</w:t>
      </w:r>
      <w:r w:rsidRPr="00187754">
        <w:rPr>
          <w:rStyle w:val="FootnoteReference"/>
          <w:lang w:val="hr-HR"/>
        </w:rPr>
        <w:footnoteReference w:id="1"/>
      </w:r>
      <w:r w:rsidRPr="00187754">
        <w:rPr>
          <w:lang w:val="hr-HR"/>
        </w:rPr>
        <w:t>.</w:t>
      </w:r>
      <w:r w:rsidRPr="00187754">
        <w:rPr>
          <w:rFonts w:eastAsia="Times New Roman" w:cs="Times New Roman"/>
          <w:lang w:val="hr-HR"/>
        </w:rPr>
        <w:t xml:space="preserve"> </w:t>
      </w:r>
      <w:r>
        <w:rPr>
          <w:rFonts w:eastAsia="Times New Roman" w:cs="Times New Roman"/>
          <w:lang w:val="hr-HR"/>
        </w:rPr>
        <w:t xml:space="preserve">Tomu će pozitivno </w:t>
      </w:r>
      <w:r w:rsidRPr="00187754">
        <w:rPr>
          <w:rFonts w:eastAsia="Times New Roman" w:cs="Times New Roman"/>
          <w:lang w:val="hr-HR"/>
        </w:rPr>
        <w:t xml:space="preserve">doprinijeti </w:t>
      </w:r>
      <w:r>
        <w:rPr>
          <w:rFonts w:eastAsia="Times New Roman" w:cs="Times New Roman"/>
          <w:lang w:val="hr-HR"/>
        </w:rPr>
        <w:t xml:space="preserve">domaća potražnja, a u manjoj mjeri i kategorija promjene zaliha, dok će </w:t>
      </w:r>
      <w:r w:rsidRPr="00F15C39">
        <w:rPr>
          <w:rFonts w:eastAsia="Times New Roman" w:cs="Times New Roman"/>
          <w:lang w:val="hr-HR"/>
        </w:rPr>
        <w:t>doprinos neto inozemne potražnje</w:t>
      </w:r>
      <w:r>
        <w:rPr>
          <w:rFonts w:eastAsia="Times New Roman" w:cs="Times New Roman"/>
          <w:lang w:val="hr-HR"/>
        </w:rPr>
        <w:t xml:space="preserve"> rastu BDP-a biti negativan. </w:t>
      </w:r>
      <w:r w:rsidRPr="00187754">
        <w:rPr>
          <w:rFonts w:eastAsia="Times New Roman" w:cs="Times New Roman"/>
          <w:lang w:val="hr-HR"/>
        </w:rPr>
        <w:t xml:space="preserve">Osobna potrošnja </w:t>
      </w:r>
      <w:r>
        <w:rPr>
          <w:rFonts w:eastAsia="Times New Roman" w:cs="Times New Roman"/>
          <w:lang w:val="hr-HR"/>
        </w:rPr>
        <w:t xml:space="preserve">te bruto investicije u fiksni kapital </w:t>
      </w:r>
      <w:r w:rsidRPr="00187754">
        <w:rPr>
          <w:rFonts w:eastAsia="Times New Roman" w:cs="Times New Roman"/>
          <w:lang w:val="hr-HR"/>
        </w:rPr>
        <w:t xml:space="preserve">bit će </w:t>
      </w:r>
      <w:r>
        <w:rPr>
          <w:rFonts w:eastAsia="Times New Roman" w:cs="Times New Roman"/>
          <w:lang w:val="hr-HR"/>
        </w:rPr>
        <w:t>nositelji</w:t>
      </w:r>
      <w:r w:rsidRPr="00187754">
        <w:rPr>
          <w:rFonts w:eastAsia="Times New Roman" w:cs="Times New Roman"/>
          <w:lang w:val="hr-HR"/>
        </w:rPr>
        <w:t xml:space="preserve"> rasta </w:t>
      </w:r>
      <w:r>
        <w:rPr>
          <w:rFonts w:eastAsia="Times New Roman" w:cs="Times New Roman"/>
          <w:lang w:val="hr-HR"/>
        </w:rPr>
        <w:t>BDP-a</w:t>
      </w:r>
      <w:r w:rsidRPr="00187754">
        <w:rPr>
          <w:rFonts w:eastAsia="Times New Roman" w:cs="Times New Roman"/>
          <w:lang w:val="hr-HR"/>
        </w:rPr>
        <w:t xml:space="preserve"> u 2024</w:t>
      </w:r>
      <w:r>
        <w:rPr>
          <w:rFonts w:eastAsia="Times New Roman" w:cs="Times New Roman"/>
          <w:lang w:val="hr-HR"/>
        </w:rPr>
        <w:t>. godini, pri čemu će obje kategorije zabilježiti izraženo ubrzanje u odnosu na prošlogodišnju dinamiku</w:t>
      </w:r>
      <w:r w:rsidRPr="00187754">
        <w:rPr>
          <w:rFonts w:eastAsia="Times New Roman" w:cs="Times New Roman"/>
          <w:lang w:val="hr-HR"/>
        </w:rPr>
        <w:t>.</w:t>
      </w:r>
      <w:r>
        <w:rPr>
          <w:rFonts w:eastAsia="Times New Roman" w:cs="Times New Roman"/>
          <w:lang w:val="hr-HR"/>
        </w:rPr>
        <w:t xml:space="preserve"> R</w:t>
      </w:r>
      <w:r w:rsidRPr="00187754">
        <w:rPr>
          <w:rFonts w:eastAsia="Times New Roman" w:cs="Times New Roman"/>
          <w:lang w:val="hr-HR"/>
        </w:rPr>
        <w:t>astu</w:t>
      </w:r>
      <w:r>
        <w:rPr>
          <w:rFonts w:eastAsia="Times New Roman" w:cs="Times New Roman"/>
          <w:lang w:val="hr-HR"/>
        </w:rPr>
        <w:t xml:space="preserve"> domaće potražnje,</w:t>
      </w:r>
      <w:r w:rsidRPr="00187754">
        <w:rPr>
          <w:rFonts w:eastAsia="Times New Roman" w:cs="Times New Roman"/>
          <w:lang w:val="hr-HR"/>
        </w:rPr>
        <w:t xml:space="preserve"> </w:t>
      </w:r>
      <w:r>
        <w:rPr>
          <w:rFonts w:eastAsia="Times New Roman" w:cs="Times New Roman"/>
          <w:lang w:val="hr-HR"/>
        </w:rPr>
        <w:t>osim njih,</w:t>
      </w:r>
      <w:r w:rsidRPr="00187754">
        <w:rPr>
          <w:rFonts w:eastAsia="Times New Roman" w:cs="Times New Roman"/>
          <w:lang w:val="hr-HR"/>
        </w:rPr>
        <w:t xml:space="preserve"> pozitivno će doprinijeti </w:t>
      </w:r>
      <w:r>
        <w:rPr>
          <w:rFonts w:eastAsia="Times New Roman" w:cs="Times New Roman"/>
          <w:lang w:val="hr-HR"/>
        </w:rPr>
        <w:t>t</w:t>
      </w:r>
      <w:r w:rsidRPr="00187754">
        <w:rPr>
          <w:rFonts w:eastAsia="Times New Roman" w:cs="Times New Roman"/>
          <w:lang w:val="hr-HR"/>
        </w:rPr>
        <w:t xml:space="preserve">akođer </w:t>
      </w:r>
      <w:r>
        <w:rPr>
          <w:rFonts w:eastAsia="Times New Roman" w:cs="Times New Roman"/>
          <w:lang w:val="hr-HR"/>
        </w:rPr>
        <w:t xml:space="preserve">i </w:t>
      </w:r>
      <w:r w:rsidRPr="00187754">
        <w:rPr>
          <w:rFonts w:eastAsia="Times New Roman" w:cs="Times New Roman"/>
          <w:lang w:val="hr-HR"/>
        </w:rPr>
        <w:t>državna potrošnja</w:t>
      </w:r>
      <w:r>
        <w:rPr>
          <w:rFonts w:eastAsia="Times New Roman" w:cs="Times New Roman"/>
          <w:lang w:val="hr-HR"/>
        </w:rPr>
        <w:t>, čiji će rast ipak osjetno usporiti u odnosu na 2023.</w:t>
      </w:r>
      <w:r w:rsidRPr="00187754">
        <w:rPr>
          <w:rFonts w:eastAsia="Times New Roman" w:cs="Times New Roman"/>
          <w:lang w:val="hr-HR"/>
        </w:rPr>
        <w:t xml:space="preserve"> </w:t>
      </w:r>
      <w:r>
        <w:rPr>
          <w:rFonts w:eastAsia="Times New Roman" w:cs="Times New Roman"/>
          <w:lang w:val="hr-HR"/>
        </w:rPr>
        <w:t>Unatoč nepovoljnom kretanju industrijske proizvodnje, izvoz roba zabilježit će oporavak u odnosu na prošlu godinu, dok se kod izvoza usluga očekuje realni pad. U usporedbi s izvozom, znatno snažniji realni rast očekuje se kod uvoza, kako roba tako i usluga, pa će</w:t>
      </w:r>
      <w:r w:rsidRPr="00F07CDC">
        <w:rPr>
          <w:rFonts w:eastAsia="Times New Roman" w:cs="Times New Roman"/>
          <w:lang w:val="hr-HR"/>
        </w:rPr>
        <w:t xml:space="preserve"> </w:t>
      </w:r>
      <w:r>
        <w:rPr>
          <w:rFonts w:eastAsia="Times New Roman" w:cs="Times New Roman"/>
          <w:lang w:val="hr-HR"/>
        </w:rPr>
        <w:t xml:space="preserve">doprinos neto inozemne potražnje, posljedično, biti izraženo negativan, nakon pozitivnog ostvarenja u </w:t>
      </w:r>
      <w:r w:rsidRPr="007C7513">
        <w:rPr>
          <w:rFonts w:eastAsia="Times New Roman" w:cs="Times New Roman"/>
          <w:lang w:val="hr-HR"/>
        </w:rPr>
        <w:t xml:space="preserve">2023. </w:t>
      </w:r>
      <w:r w:rsidRPr="007C7513">
        <w:rPr>
          <w:lang w:val="hr-HR"/>
        </w:rPr>
        <w:t>Očekuje se usporavanje prosječne inflacije potrošačkih cijena s 8% iz 2023. na razinu od 3,0%</w:t>
      </w:r>
      <w:r w:rsidRPr="007C7513">
        <w:rPr>
          <w:rFonts w:ascii="Calibri" w:eastAsia="Calibri" w:hAnsi="Calibri" w:cs="Calibri"/>
          <w:lang w:val="hr-HR"/>
        </w:rPr>
        <w:t xml:space="preserve"> </w:t>
      </w:r>
      <w:r w:rsidRPr="007C7513">
        <w:rPr>
          <w:rFonts w:eastAsia="Times New Roman" w:cs="Times New Roman"/>
          <w:lang w:val="hr-HR"/>
        </w:rPr>
        <w:t>u</w:t>
      </w:r>
      <w:r w:rsidRPr="007C7513">
        <w:rPr>
          <w:lang w:val="hr-HR"/>
        </w:rPr>
        <w:t xml:space="preserve"> 2024. godini</w:t>
      </w:r>
      <w:r w:rsidRPr="007C7513">
        <w:rPr>
          <w:rFonts w:ascii="Calibri" w:eastAsia="Calibri" w:hAnsi="Calibri" w:cs="Calibri"/>
          <w:lang w:val="hr-HR"/>
        </w:rPr>
        <w:t>, čemu će najviše doprinijeti ublažavanje inflacijskih pritisaka kod cijena hrane, kao i smanjenje temeljne inflacije.</w:t>
      </w:r>
      <w:r w:rsidRPr="00187754">
        <w:rPr>
          <w:rFonts w:ascii="Calibri" w:eastAsia="Calibri" w:hAnsi="Calibri" w:cs="Calibri"/>
          <w:lang w:val="hr-HR"/>
        </w:rPr>
        <w:t xml:space="preserve"> </w:t>
      </w:r>
      <w:r>
        <w:rPr>
          <w:lang w:val="hr-HR"/>
        </w:rPr>
        <w:t xml:space="preserve">Tržište rada i </w:t>
      </w:r>
      <w:r w:rsidRPr="00187754">
        <w:rPr>
          <w:lang w:val="hr-HR"/>
        </w:rPr>
        <w:t xml:space="preserve">dalje karakteriziraju </w:t>
      </w:r>
      <w:r>
        <w:rPr>
          <w:lang w:val="hr-HR"/>
        </w:rPr>
        <w:t xml:space="preserve">vrlo </w:t>
      </w:r>
      <w:r w:rsidRPr="00187754">
        <w:rPr>
          <w:lang w:val="hr-HR"/>
        </w:rPr>
        <w:t>povoljna očekivanja, u uvjetima prisutne neravnoteže između ponude i potražnje za radom te povoljnih trendova migracijskog salda. Tako se u 2024. godini očekuje ras</w:t>
      </w:r>
      <w:r>
        <w:rPr>
          <w:lang w:val="hr-HR"/>
        </w:rPr>
        <w:t>t broja zaposlenih po stopi od 3</w:t>
      </w:r>
      <w:r w:rsidRPr="00187754">
        <w:rPr>
          <w:lang w:val="hr-HR"/>
        </w:rPr>
        <w:t>,</w:t>
      </w:r>
      <w:r>
        <w:rPr>
          <w:lang w:val="hr-HR"/>
        </w:rPr>
        <w:t>0</w:t>
      </w:r>
      <w:r w:rsidRPr="00187754">
        <w:rPr>
          <w:lang w:val="hr-HR"/>
        </w:rPr>
        <w:t>%</w:t>
      </w:r>
      <w:r>
        <w:rPr>
          <w:lang w:val="hr-HR"/>
        </w:rPr>
        <w:t xml:space="preserve"> (po definiciji nacionalnih računa, prema domaćem konceptu)</w:t>
      </w:r>
      <w:r w:rsidRPr="00187754">
        <w:rPr>
          <w:lang w:val="hr-HR"/>
        </w:rPr>
        <w:t xml:space="preserve">. </w:t>
      </w:r>
      <w:r w:rsidRPr="001A2049">
        <w:rPr>
          <w:lang w:val="hr-HR"/>
        </w:rPr>
        <w:t>Pod utjecajem kretanja ponude i potražnje radne snage, uz prisutne izražene manjkove određenih profila radnika, kao i reforme sustava plaća u javnom sektoru, očekuje se snažan nominalni rast bruto plaća, približan prošlogodišnjem.</w:t>
      </w:r>
    </w:p>
    <w:p w:rsidR="00077291" w:rsidRPr="00BE257E" w:rsidRDefault="00BE257E" w:rsidP="00BE257E">
      <w:pPr>
        <w:rPr>
          <w:lang w:val="hr-HR"/>
        </w:rPr>
      </w:pPr>
      <w:r>
        <w:rPr>
          <w:lang w:val="hr-HR"/>
        </w:rPr>
        <w:br w:type="page"/>
      </w:r>
    </w:p>
    <w:p w:rsidR="00025948" w:rsidRPr="009B5CBF" w:rsidRDefault="00025948" w:rsidP="00025948">
      <w:pPr>
        <w:pStyle w:val="Heading1"/>
        <w:numPr>
          <w:ilvl w:val="0"/>
          <w:numId w:val="1"/>
        </w:numPr>
        <w:rPr>
          <w:lang w:val="hr-HR"/>
        </w:rPr>
      </w:pPr>
      <w:bookmarkStart w:id="7" w:name="_Toc178762832"/>
      <w:r w:rsidRPr="009B5CBF">
        <w:rPr>
          <w:lang w:val="hr-HR"/>
        </w:rPr>
        <w:lastRenderedPageBreak/>
        <w:t>PRIHODI DRŽAVNOG PRORAČUNA</w:t>
      </w:r>
      <w:bookmarkEnd w:id="7"/>
      <w:r w:rsidRPr="009B5CBF">
        <w:rPr>
          <w:lang w:val="hr-HR"/>
        </w:rPr>
        <w:t xml:space="preserve"> </w:t>
      </w:r>
    </w:p>
    <w:p w:rsidR="0054100C" w:rsidRDefault="0054100C" w:rsidP="0076522F">
      <w:pPr>
        <w:pStyle w:val="Caption"/>
        <w:spacing w:before="240" w:after="120"/>
        <w:jc w:val="both"/>
        <w:rPr>
          <w:rFonts w:asciiTheme="minorHAnsi" w:hAnsiTheme="minorHAnsi"/>
          <w:b w:val="0"/>
          <w:sz w:val="22"/>
          <w:szCs w:val="22"/>
        </w:rPr>
      </w:pPr>
    </w:p>
    <w:p w:rsidR="0068374C" w:rsidRDefault="0068374C" w:rsidP="0068374C">
      <w:pPr>
        <w:spacing w:before="240"/>
        <w:jc w:val="both"/>
        <w:rPr>
          <w:rFonts w:ascii="Calibri" w:hAnsi="Calibri" w:cs="Calibri"/>
          <w:color w:val="000000"/>
          <w:shd w:val="clear" w:color="auto" w:fill="FFFFFF"/>
          <w:lang w:val="hr-HR"/>
        </w:rPr>
      </w:pPr>
      <w:r w:rsidRPr="003E2AE9">
        <w:rPr>
          <w:lang w:val="hr-HR"/>
        </w:rPr>
        <w:t>Prihodi državnog proračuna planirani Izmjenama i dopunama Državnog proračuna Republike Hrvatske za 202</w:t>
      </w:r>
      <w:r>
        <w:rPr>
          <w:lang w:val="hr-HR"/>
        </w:rPr>
        <w:t>4</w:t>
      </w:r>
      <w:r w:rsidRPr="003E2AE9">
        <w:rPr>
          <w:lang w:val="hr-HR"/>
        </w:rPr>
        <w:t xml:space="preserve">. godinu temelje se na očekivanom kretanju gospodarske aktivnosti, </w:t>
      </w:r>
      <w:r w:rsidRPr="00FB5931">
        <w:rPr>
          <w:rFonts w:ascii="Calibri" w:hAnsi="Calibri" w:cs="Calibri"/>
          <w:color w:val="000000"/>
          <w:shd w:val="clear" w:color="auto" w:fill="FFFFFF"/>
          <w:lang w:val="hr-HR"/>
        </w:rPr>
        <w:t xml:space="preserve">uzimajući u obzir cjelogodišnji fiskalni učinak </w:t>
      </w:r>
      <w:r>
        <w:rPr>
          <w:rFonts w:ascii="Calibri" w:hAnsi="Calibri" w:cs="Calibri"/>
          <w:color w:val="000000"/>
          <w:shd w:val="clear" w:color="auto" w:fill="FFFFFF"/>
          <w:lang w:val="hr-HR"/>
        </w:rPr>
        <w:t xml:space="preserve">mjera koje je Vlada RH donijela u svrhu zaštite kućanstava i gospodarstva od rasta cijena, </w:t>
      </w:r>
      <w:r w:rsidRPr="00FB5931">
        <w:rPr>
          <w:rFonts w:ascii="Calibri" w:hAnsi="Calibri" w:cs="Calibri"/>
          <w:color w:val="000000"/>
          <w:shd w:val="clear" w:color="auto" w:fill="FFFFFF"/>
          <w:lang w:val="hr-HR"/>
        </w:rPr>
        <w:t>kao i</w:t>
      </w:r>
      <w:r>
        <w:rPr>
          <w:rFonts w:ascii="Calibri" w:hAnsi="Calibri" w:cs="Calibri"/>
          <w:color w:val="000000"/>
          <w:shd w:val="clear" w:color="auto" w:fill="FFFFFF"/>
          <w:lang w:val="hr-HR"/>
        </w:rPr>
        <w:t xml:space="preserve"> učinak porezne reforme </w:t>
      </w:r>
      <w:r w:rsidRPr="00FB5931">
        <w:rPr>
          <w:rFonts w:ascii="Calibri" w:hAnsi="Calibri" w:cs="Calibri"/>
          <w:color w:val="000000"/>
          <w:shd w:val="clear" w:color="auto" w:fill="FFFFFF"/>
          <w:lang w:val="hr-HR"/>
        </w:rPr>
        <w:t xml:space="preserve">u sustavu </w:t>
      </w:r>
      <w:r>
        <w:rPr>
          <w:rFonts w:ascii="Calibri" w:hAnsi="Calibri" w:cs="Calibri"/>
          <w:color w:val="000000"/>
          <w:shd w:val="clear" w:color="auto" w:fill="FFFFFF"/>
          <w:lang w:val="hr-HR"/>
        </w:rPr>
        <w:t>doprinosa za mirovinsko osiguranje, a koje</w:t>
      </w:r>
      <w:r w:rsidRPr="00FB5931">
        <w:rPr>
          <w:rFonts w:ascii="Calibri" w:hAnsi="Calibri" w:cs="Calibri"/>
          <w:color w:val="000000"/>
          <w:shd w:val="clear" w:color="auto" w:fill="FFFFFF"/>
          <w:lang w:val="hr-HR"/>
        </w:rPr>
        <w:t xml:space="preserve"> </w:t>
      </w:r>
      <w:r>
        <w:rPr>
          <w:rFonts w:ascii="Calibri" w:hAnsi="Calibri" w:cs="Calibri"/>
          <w:color w:val="000000"/>
          <w:shd w:val="clear" w:color="auto" w:fill="FFFFFF"/>
          <w:lang w:val="hr-HR"/>
        </w:rPr>
        <w:t>je</w:t>
      </w:r>
      <w:r w:rsidRPr="00FB5931">
        <w:rPr>
          <w:rFonts w:ascii="Calibri" w:hAnsi="Calibri" w:cs="Calibri"/>
          <w:color w:val="000000"/>
          <w:shd w:val="clear" w:color="auto" w:fill="FFFFFF"/>
          <w:lang w:val="hr-HR"/>
        </w:rPr>
        <w:t xml:space="preserve"> </w:t>
      </w:r>
      <w:r>
        <w:rPr>
          <w:rFonts w:ascii="Calibri" w:hAnsi="Calibri" w:cs="Calibri"/>
          <w:color w:val="000000"/>
          <w:shd w:val="clear" w:color="auto" w:fill="FFFFFF"/>
          <w:lang w:val="hr-HR"/>
        </w:rPr>
        <w:t xml:space="preserve">stupilo na snagu od 1. siječnja 2024. </w:t>
      </w:r>
      <w:r w:rsidRPr="00B92193">
        <w:rPr>
          <w:rFonts w:ascii="Calibri" w:hAnsi="Calibri" w:cs="Calibri"/>
          <w:color w:val="000000"/>
          <w:shd w:val="clear" w:color="auto" w:fill="FFFFFF"/>
          <w:lang w:val="hr-HR"/>
        </w:rPr>
        <w:t>Značajan učinak na prihode proračuna imaju i sredstva pomoći</w:t>
      </w:r>
      <w:r w:rsidRPr="00607FE4">
        <w:rPr>
          <w:rFonts w:ascii="Calibri" w:hAnsi="Calibri" w:cs="Calibri"/>
          <w:color w:val="000000"/>
          <w:shd w:val="clear" w:color="auto" w:fill="FFFFFF"/>
          <w:lang w:val="hr-HR"/>
        </w:rPr>
        <w:t xml:space="preserve"> institucija i tijela EU. To se ponajprije odnosi na sredstva iz novog Višegodišnjeg financijskog okvira 2021. – 2027. te iz Mehanizma za oporavak i otpornost, kojima se jača op</w:t>
      </w:r>
      <w:r>
        <w:rPr>
          <w:rFonts w:ascii="Calibri" w:hAnsi="Calibri" w:cs="Calibri"/>
          <w:color w:val="000000"/>
          <w:shd w:val="clear" w:color="auto" w:fill="FFFFFF"/>
          <w:lang w:val="hr-HR"/>
        </w:rPr>
        <w:t>oravak i otpornost gospodarstva</w:t>
      </w:r>
      <w:r w:rsidRPr="00607FE4">
        <w:rPr>
          <w:rFonts w:ascii="Calibri" w:hAnsi="Calibri" w:cs="Calibri"/>
          <w:color w:val="000000"/>
          <w:shd w:val="clear" w:color="auto" w:fill="FFFFFF"/>
          <w:lang w:val="hr-HR"/>
        </w:rPr>
        <w:t>.</w:t>
      </w:r>
      <w:r>
        <w:rPr>
          <w:rFonts w:ascii="Calibri" w:hAnsi="Calibri" w:cs="Calibri"/>
          <w:color w:val="000000"/>
          <w:shd w:val="clear" w:color="auto" w:fill="FFFFFF"/>
          <w:lang w:val="hr-HR"/>
        </w:rPr>
        <w:t xml:space="preserve"> </w:t>
      </w:r>
    </w:p>
    <w:p w:rsidR="0068374C" w:rsidRPr="00B3494F" w:rsidRDefault="0068374C" w:rsidP="0068374C">
      <w:pPr>
        <w:spacing w:before="240"/>
        <w:jc w:val="both"/>
        <w:rPr>
          <w:rFonts w:cstheme="minorHAnsi"/>
          <w:lang w:val="hr-HR"/>
        </w:rPr>
      </w:pPr>
      <w:r w:rsidRPr="008E6034">
        <w:rPr>
          <w:rFonts w:cstheme="minorHAnsi"/>
          <w:lang w:val="hr-HR"/>
        </w:rPr>
        <w:t>Izmjenama Zakona o doprinosima</w:t>
      </w:r>
      <w:r w:rsidR="0065671B">
        <w:rPr>
          <w:rFonts w:cstheme="minorHAnsi"/>
          <w:lang w:val="hr-HR"/>
        </w:rPr>
        <w:t xml:space="preserve"> smanjena je</w:t>
      </w:r>
      <w:r>
        <w:rPr>
          <w:rFonts w:cstheme="minorHAnsi"/>
          <w:lang w:val="hr-HR"/>
        </w:rPr>
        <w:t xml:space="preserve"> </w:t>
      </w:r>
      <w:r w:rsidRPr="008E6034">
        <w:rPr>
          <w:rFonts w:cstheme="minorHAnsi"/>
          <w:lang w:val="hr-HR"/>
        </w:rPr>
        <w:t>mjesečna osnovica za obračun doprinosa za mirovinsko osiguranje temeljem generacijske solidarnosti. Za sve ukupne bruto mjesečne plaće do 700 eura smanjenje je fiksno i iznosi 300 eura, dok se za plaće povrh tog iznosa pa do iznosa od 1.300 eura olakšica postupno smanjuje. Pri tome olakšica ne umanjuje budući iznos mirovine jer će se za utvrđivanje prava iz mirovinskog osiguranja temeljem generacijske solidarnosti, koristiti puna mjesečna osnovica bez umanjenja za olakšicu.</w:t>
      </w:r>
    </w:p>
    <w:p w:rsidR="0068374C" w:rsidRDefault="0068374C" w:rsidP="0068374C">
      <w:pPr>
        <w:jc w:val="both"/>
        <w:rPr>
          <w:lang w:val="hr-HR"/>
        </w:rPr>
      </w:pPr>
      <w:r>
        <w:rPr>
          <w:lang w:val="hr-HR"/>
        </w:rPr>
        <w:t>Uzevši u obzir navedeno, n</w:t>
      </w:r>
      <w:r w:rsidRPr="003E2AE9">
        <w:rPr>
          <w:lang w:val="hr-HR"/>
        </w:rPr>
        <w:t>ovim planom proračuna za</w:t>
      </w:r>
      <w:r>
        <w:rPr>
          <w:lang w:val="hr-HR"/>
        </w:rPr>
        <w:t xml:space="preserve"> 2024</w:t>
      </w:r>
      <w:r w:rsidRPr="003E2AE9">
        <w:rPr>
          <w:lang w:val="hr-HR"/>
        </w:rPr>
        <w:t xml:space="preserve">. godinu ukupni prihodi </w:t>
      </w:r>
      <w:r w:rsidRPr="00D77D7E">
        <w:rPr>
          <w:lang w:val="hr-HR"/>
        </w:rPr>
        <w:t xml:space="preserve">iznose </w:t>
      </w:r>
      <w:r>
        <w:rPr>
          <w:lang w:val="hr-HR"/>
        </w:rPr>
        <w:t>30,3</w:t>
      </w:r>
      <w:r w:rsidRPr="00D77D7E">
        <w:rPr>
          <w:lang w:val="hr-HR"/>
        </w:rPr>
        <w:t xml:space="preserve"> milijard</w:t>
      </w:r>
      <w:r>
        <w:rPr>
          <w:lang w:val="hr-HR"/>
        </w:rPr>
        <w:t>e</w:t>
      </w:r>
      <w:r w:rsidRPr="00D77D7E">
        <w:rPr>
          <w:lang w:val="hr-HR"/>
        </w:rPr>
        <w:t xml:space="preserve"> eura. Pritom</w:t>
      </w:r>
      <w:r w:rsidRPr="003E2AE9">
        <w:rPr>
          <w:lang w:val="hr-HR"/>
        </w:rPr>
        <w:t xml:space="preserve"> prihodi poslovanja iznose </w:t>
      </w:r>
      <w:r>
        <w:rPr>
          <w:lang w:val="hr-HR"/>
        </w:rPr>
        <w:t>30,2 milijarde eura</w:t>
      </w:r>
      <w:r w:rsidRPr="003E2AE9">
        <w:rPr>
          <w:lang w:val="hr-HR"/>
        </w:rPr>
        <w:t xml:space="preserve">, a prihodi od prodaje nefinancijske imovine </w:t>
      </w:r>
      <w:r>
        <w:rPr>
          <w:lang w:val="hr-HR"/>
        </w:rPr>
        <w:t>180,</w:t>
      </w:r>
      <w:r w:rsidR="00E45433">
        <w:rPr>
          <w:lang w:val="hr-HR"/>
        </w:rPr>
        <w:t>9</w:t>
      </w:r>
      <w:r>
        <w:rPr>
          <w:lang w:val="hr-HR"/>
        </w:rPr>
        <w:t xml:space="preserve"> milijuna eura</w:t>
      </w:r>
      <w:r w:rsidRPr="003E2AE9">
        <w:rPr>
          <w:lang w:val="hr-HR"/>
        </w:rPr>
        <w:t xml:space="preserve">. Ukupni proračunski prihodi </w:t>
      </w:r>
      <w:r w:rsidR="00524000">
        <w:rPr>
          <w:lang w:val="hr-HR"/>
        </w:rPr>
        <w:t xml:space="preserve">u odnosu na izvorni plan </w:t>
      </w:r>
      <w:r w:rsidRPr="003E2AE9">
        <w:rPr>
          <w:lang w:val="hr-HR"/>
        </w:rPr>
        <w:t xml:space="preserve">povećavaju se za </w:t>
      </w:r>
      <w:r>
        <w:rPr>
          <w:lang w:val="hr-HR"/>
        </w:rPr>
        <w:t>1,8 milijardi eura</w:t>
      </w:r>
      <w:r w:rsidRPr="003E2AE9">
        <w:rPr>
          <w:lang w:val="hr-HR"/>
        </w:rPr>
        <w:t>, što prvenstveno dolazi od povećanja</w:t>
      </w:r>
      <w:r>
        <w:rPr>
          <w:lang w:val="hr-HR"/>
        </w:rPr>
        <w:t xml:space="preserve"> poreznih prihoda te od prihoda od socijalnih doprinosa</w:t>
      </w:r>
      <w:r w:rsidRPr="003E2AE9">
        <w:rPr>
          <w:lang w:val="hr-HR"/>
        </w:rPr>
        <w:t xml:space="preserve">. </w:t>
      </w:r>
    </w:p>
    <w:p w:rsidR="0068374C" w:rsidRPr="003E2AE9" w:rsidRDefault="0068374C" w:rsidP="0068374C">
      <w:pPr>
        <w:jc w:val="both"/>
        <w:rPr>
          <w:b/>
          <w:lang w:val="hr-HR"/>
        </w:rPr>
      </w:pPr>
    </w:p>
    <w:p w:rsidR="0068374C" w:rsidRPr="003E2AE9" w:rsidRDefault="0068374C" w:rsidP="0068374C">
      <w:pPr>
        <w:jc w:val="both"/>
        <w:rPr>
          <w:b/>
          <w:lang w:val="hr-HR"/>
        </w:rPr>
      </w:pPr>
      <w:r w:rsidRPr="003E2AE9">
        <w:rPr>
          <w:b/>
          <w:lang w:val="hr-HR"/>
        </w:rPr>
        <w:t>Prihodi od poreza</w:t>
      </w:r>
    </w:p>
    <w:p w:rsidR="0068374C" w:rsidRPr="003E2AE9" w:rsidRDefault="0068374C" w:rsidP="0068374C">
      <w:pPr>
        <w:jc w:val="both"/>
        <w:rPr>
          <w:lang w:val="hr-HR"/>
        </w:rPr>
      </w:pPr>
      <w:r w:rsidRPr="003E2AE9">
        <w:rPr>
          <w:lang w:val="hr-HR"/>
        </w:rPr>
        <w:t>Prihodi od poreza su novim planom za 202</w:t>
      </w:r>
      <w:r w:rsidR="00167FEE">
        <w:rPr>
          <w:lang w:val="hr-HR"/>
        </w:rPr>
        <w:t>4</w:t>
      </w:r>
      <w:r w:rsidRPr="003E2AE9">
        <w:rPr>
          <w:lang w:val="hr-HR"/>
        </w:rPr>
        <w:t xml:space="preserve">. godinu planirani u iznosu od </w:t>
      </w:r>
      <w:r w:rsidR="00167FEE">
        <w:rPr>
          <w:lang w:val="hr-HR"/>
        </w:rPr>
        <w:t>17,</w:t>
      </w:r>
      <w:r w:rsidR="009C5913">
        <w:rPr>
          <w:lang w:val="hr-HR"/>
        </w:rPr>
        <w:t>3</w:t>
      </w:r>
      <w:r>
        <w:rPr>
          <w:lang w:val="hr-HR"/>
        </w:rPr>
        <w:t xml:space="preserve"> milijarde eura,</w:t>
      </w:r>
      <w:r w:rsidRPr="00664A81">
        <w:t xml:space="preserve"> </w:t>
      </w:r>
      <w:r w:rsidRPr="00664A81">
        <w:rPr>
          <w:lang w:val="hr-HR"/>
        </w:rPr>
        <w:t xml:space="preserve">što je </w:t>
      </w:r>
      <w:r>
        <w:rPr>
          <w:lang w:val="hr-HR"/>
        </w:rPr>
        <w:t xml:space="preserve">za </w:t>
      </w:r>
      <w:r w:rsidR="00167FEE">
        <w:rPr>
          <w:lang w:val="hr-HR"/>
        </w:rPr>
        <w:t>1,</w:t>
      </w:r>
      <w:r w:rsidR="00E01471">
        <w:rPr>
          <w:lang w:val="hr-HR"/>
        </w:rPr>
        <w:t>1</w:t>
      </w:r>
      <w:r>
        <w:rPr>
          <w:lang w:val="hr-HR"/>
        </w:rPr>
        <w:t xml:space="preserve"> milij</w:t>
      </w:r>
      <w:r w:rsidR="00167FEE">
        <w:rPr>
          <w:lang w:val="hr-HR"/>
        </w:rPr>
        <w:t>ard</w:t>
      </w:r>
      <w:r w:rsidR="00E01471">
        <w:rPr>
          <w:lang w:val="hr-HR"/>
        </w:rPr>
        <w:t>u</w:t>
      </w:r>
      <w:r>
        <w:rPr>
          <w:lang w:val="hr-HR"/>
        </w:rPr>
        <w:t xml:space="preserve"> eura više u </w:t>
      </w:r>
      <w:r w:rsidRPr="00664A81">
        <w:rPr>
          <w:lang w:val="hr-HR"/>
        </w:rPr>
        <w:t xml:space="preserve">odnosu na </w:t>
      </w:r>
      <w:r>
        <w:rPr>
          <w:lang w:val="hr-HR"/>
        </w:rPr>
        <w:t xml:space="preserve">prvotni </w:t>
      </w:r>
      <w:r w:rsidRPr="00664A81">
        <w:rPr>
          <w:lang w:val="hr-HR"/>
        </w:rPr>
        <w:t>plan proračuna</w:t>
      </w:r>
      <w:r w:rsidRPr="003E2AE9">
        <w:rPr>
          <w:lang w:val="hr-HR"/>
        </w:rPr>
        <w:t>. Pritom na</w:t>
      </w:r>
      <w:r>
        <w:rPr>
          <w:lang w:val="hr-HR"/>
        </w:rPr>
        <w:t>jveće pozitivne promjene bilježe</w:t>
      </w:r>
      <w:r w:rsidRPr="003E2AE9">
        <w:rPr>
          <w:lang w:val="hr-HR"/>
        </w:rPr>
        <w:t xml:space="preserve"> prihod</w:t>
      </w:r>
      <w:r>
        <w:rPr>
          <w:lang w:val="hr-HR"/>
        </w:rPr>
        <w:t>i</w:t>
      </w:r>
      <w:r w:rsidRPr="003E2AE9">
        <w:rPr>
          <w:lang w:val="hr-HR"/>
        </w:rPr>
        <w:t xml:space="preserve"> od </w:t>
      </w:r>
      <w:r>
        <w:rPr>
          <w:lang w:val="hr-HR"/>
        </w:rPr>
        <w:t>poreza na dobit i prihodi od poreza na dodanu vrijednost</w:t>
      </w:r>
      <w:r w:rsidRPr="003E2AE9">
        <w:rPr>
          <w:lang w:val="hr-HR"/>
        </w:rPr>
        <w:t xml:space="preserve">. </w:t>
      </w:r>
    </w:p>
    <w:p w:rsidR="0068374C" w:rsidRPr="003E2AE9" w:rsidRDefault="0068374C" w:rsidP="0068374C">
      <w:pPr>
        <w:jc w:val="both"/>
        <w:rPr>
          <w:b/>
          <w:i/>
          <w:lang w:val="hr-HR"/>
        </w:rPr>
      </w:pPr>
      <w:r w:rsidRPr="003E2AE9">
        <w:rPr>
          <w:b/>
          <w:i/>
          <w:lang w:val="hr-HR"/>
        </w:rPr>
        <w:t>Porez na dobit</w:t>
      </w:r>
    </w:p>
    <w:p w:rsidR="0068374C" w:rsidRDefault="0068374C" w:rsidP="0068374C">
      <w:pPr>
        <w:jc w:val="both"/>
        <w:rPr>
          <w:lang w:val="hr-HR"/>
        </w:rPr>
      </w:pPr>
      <w:r w:rsidRPr="003E2AE9">
        <w:rPr>
          <w:lang w:val="hr-HR"/>
        </w:rPr>
        <w:t>Prihod od poreza na dobit prema novom planu za 202</w:t>
      </w:r>
      <w:r>
        <w:rPr>
          <w:lang w:val="hr-HR"/>
        </w:rPr>
        <w:t>4</w:t>
      </w:r>
      <w:r w:rsidRPr="003E2AE9">
        <w:rPr>
          <w:lang w:val="hr-HR"/>
        </w:rPr>
        <w:t xml:space="preserve">. godinu iznosi </w:t>
      </w:r>
      <w:r>
        <w:rPr>
          <w:lang w:val="hr-HR"/>
        </w:rPr>
        <w:t>2,6 milijardi eura</w:t>
      </w:r>
      <w:r w:rsidRPr="003E2AE9">
        <w:rPr>
          <w:lang w:val="hr-HR"/>
        </w:rPr>
        <w:t xml:space="preserve"> i veći </w:t>
      </w:r>
      <w:r>
        <w:rPr>
          <w:lang w:val="hr-HR"/>
        </w:rPr>
        <w:t xml:space="preserve">je za 387,4 milijuna eura </w:t>
      </w:r>
      <w:r w:rsidRPr="003E2AE9">
        <w:rPr>
          <w:lang w:val="hr-HR"/>
        </w:rPr>
        <w:t xml:space="preserve">od prvotno planiranog. Povećanje ove prihodne kategorije rezultat je poslovanja </w:t>
      </w:r>
      <w:r w:rsidRPr="00792B0D">
        <w:rPr>
          <w:lang w:val="hr-HR"/>
        </w:rPr>
        <w:t xml:space="preserve">poduzeća i banaka u prethodnoj godini </w:t>
      </w:r>
      <w:r>
        <w:rPr>
          <w:lang w:val="hr-HR"/>
        </w:rPr>
        <w:t>odnosno uplate poreza na dobit prilikom njihovog završnog obračuna krajem travnja 2024.</w:t>
      </w:r>
    </w:p>
    <w:p w:rsidR="0068374C" w:rsidRPr="003E2AE9" w:rsidRDefault="0068374C" w:rsidP="0068374C">
      <w:pPr>
        <w:jc w:val="both"/>
        <w:rPr>
          <w:b/>
          <w:i/>
          <w:lang w:val="hr-HR"/>
        </w:rPr>
      </w:pPr>
      <w:r w:rsidRPr="003E2AE9">
        <w:rPr>
          <w:b/>
          <w:i/>
          <w:lang w:val="hr-HR"/>
        </w:rPr>
        <w:t>Porez na dodanu vrijednost</w:t>
      </w:r>
    </w:p>
    <w:p w:rsidR="0068374C" w:rsidRDefault="0068374C" w:rsidP="0068374C">
      <w:pPr>
        <w:jc w:val="both"/>
        <w:rPr>
          <w:lang w:val="hr-HR"/>
        </w:rPr>
      </w:pPr>
      <w:r w:rsidRPr="003E2AE9">
        <w:rPr>
          <w:lang w:val="hr-HR"/>
        </w:rPr>
        <w:t xml:space="preserve">Novi plan prihoda od poreza na dodanu vrijednost iznosi </w:t>
      </w:r>
      <w:r>
        <w:rPr>
          <w:lang w:val="hr-HR"/>
        </w:rPr>
        <w:t xml:space="preserve">11,4 milijarde eura </w:t>
      </w:r>
      <w:r w:rsidRPr="003E2AE9">
        <w:rPr>
          <w:lang w:val="hr-HR"/>
        </w:rPr>
        <w:t>i veći je u odnosu na prvotno planiran</w:t>
      </w:r>
      <w:r>
        <w:rPr>
          <w:lang w:val="hr-HR"/>
        </w:rPr>
        <w:t>i</w:t>
      </w:r>
      <w:r w:rsidRPr="003E2AE9">
        <w:rPr>
          <w:lang w:val="hr-HR"/>
        </w:rPr>
        <w:t xml:space="preserve"> za </w:t>
      </w:r>
      <w:r w:rsidR="00670EAD">
        <w:rPr>
          <w:lang w:val="hr-HR"/>
        </w:rPr>
        <w:t>393,6</w:t>
      </w:r>
      <w:r>
        <w:rPr>
          <w:lang w:val="hr-HR"/>
        </w:rPr>
        <w:t xml:space="preserve"> milijuna eura</w:t>
      </w:r>
      <w:r w:rsidRPr="003E2AE9">
        <w:rPr>
          <w:lang w:val="hr-HR"/>
        </w:rPr>
        <w:t xml:space="preserve">. Projekcija prihoda od PDV-a temelji se na očekivanom kretanju osobne </w:t>
      </w:r>
      <w:r>
        <w:rPr>
          <w:lang w:val="hr-HR"/>
        </w:rPr>
        <w:t xml:space="preserve">i turističke </w:t>
      </w:r>
      <w:r w:rsidRPr="003E2AE9">
        <w:rPr>
          <w:lang w:val="hr-HR"/>
        </w:rPr>
        <w:t>potrošnje, intermedijarn</w:t>
      </w:r>
      <w:r>
        <w:rPr>
          <w:lang w:val="hr-HR"/>
        </w:rPr>
        <w:t>e</w:t>
      </w:r>
      <w:r w:rsidRPr="003E2AE9">
        <w:rPr>
          <w:lang w:val="hr-HR"/>
        </w:rPr>
        <w:t xml:space="preserve"> potrošnj</w:t>
      </w:r>
      <w:r>
        <w:rPr>
          <w:lang w:val="hr-HR"/>
        </w:rPr>
        <w:t>e</w:t>
      </w:r>
      <w:r w:rsidRPr="003E2AE9">
        <w:rPr>
          <w:lang w:val="hr-HR"/>
        </w:rPr>
        <w:t>, investicij</w:t>
      </w:r>
      <w:r>
        <w:rPr>
          <w:lang w:val="hr-HR"/>
        </w:rPr>
        <w:t>a</w:t>
      </w:r>
      <w:r w:rsidRPr="003E2AE9">
        <w:rPr>
          <w:lang w:val="hr-HR"/>
        </w:rPr>
        <w:t xml:space="preserve"> te socijaln</w:t>
      </w:r>
      <w:r>
        <w:rPr>
          <w:lang w:val="hr-HR"/>
        </w:rPr>
        <w:t>ih</w:t>
      </w:r>
      <w:r w:rsidRPr="003E2AE9">
        <w:rPr>
          <w:lang w:val="hr-HR"/>
        </w:rPr>
        <w:t xml:space="preserve"> transfer</w:t>
      </w:r>
      <w:r>
        <w:rPr>
          <w:lang w:val="hr-HR"/>
        </w:rPr>
        <w:t>a</w:t>
      </w:r>
      <w:r w:rsidRPr="003E2AE9">
        <w:rPr>
          <w:lang w:val="hr-HR"/>
        </w:rPr>
        <w:t xml:space="preserve"> u naravi.</w:t>
      </w:r>
    </w:p>
    <w:p w:rsidR="007F14D5" w:rsidRDefault="0068374C" w:rsidP="0068374C">
      <w:pPr>
        <w:jc w:val="both"/>
        <w:rPr>
          <w:lang w:val="hr-HR"/>
        </w:rPr>
      </w:pPr>
      <w:r w:rsidRPr="003E2AE9">
        <w:rPr>
          <w:lang w:val="hr-HR"/>
        </w:rPr>
        <w:t xml:space="preserve"> </w:t>
      </w:r>
    </w:p>
    <w:p w:rsidR="0068374C" w:rsidRPr="007F14D5" w:rsidRDefault="0068374C" w:rsidP="0068374C">
      <w:pPr>
        <w:jc w:val="both"/>
        <w:rPr>
          <w:lang w:val="hr-HR"/>
        </w:rPr>
      </w:pPr>
      <w:r w:rsidRPr="003E2AE9">
        <w:rPr>
          <w:b/>
          <w:i/>
          <w:lang w:val="hr-HR"/>
        </w:rPr>
        <w:lastRenderedPageBreak/>
        <w:t>Posebni porezi i trošarine</w:t>
      </w:r>
    </w:p>
    <w:p w:rsidR="0068374C" w:rsidRPr="003E2AE9" w:rsidRDefault="0068374C" w:rsidP="0068374C">
      <w:pPr>
        <w:jc w:val="both"/>
        <w:rPr>
          <w:lang w:val="hr-HR"/>
        </w:rPr>
      </w:pPr>
      <w:r w:rsidRPr="00A53EF7">
        <w:rPr>
          <w:lang w:val="hr-HR"/>
        </w:rPr>
        <w:t>Prihodi od posebnih poreza i trošarina prema ovim Izmjenama i dopunama Državnog proračuna Republike Hrvatske za 202</w:t>
      </w:r>
      <w:r>
        <w:rPr>
          <w:lang w:val="hr-HR"/>
        </w:rPr>
        <w:t>4</w:t>
      </w:r>
      <w:r w:rsidRPr="00A53EF7">
        <w:rPr>
          <w:lang w:val="hr-HR"/>
        </w:rPr>
        <w:t xml:space="preserve">. godinu bilježe povećanje od </w:t>
      </w:r>
      <w:r>
        <w:rPr>
          <w:lang w:val="hr-HR"/>
        </w:rPr>
        <w:t>293,4</w:t>
      </w:r>
      <w:r w:rsidRPr="00A53EF7">
        <w:rPr>
          <w:lang w:val="hr-HR"/>
        </w:rPr>
        <w:t xml:space="preserve"> milijuna eura u odnosu na prvotni plan te iznose 2,</w:t>
      </w:r>
      <w:r>
        <w:rPr>
          <w:lang w:val="hr-HR"/>
        </w:rPr>
        <w:t>8 milijardi</w:t>
      </w:r>
      <w:r w:rsidRPr="00A53EF7">
        <w:rPr>
          <w:lang w:val="hr-HR"/>
        </w:rPr>
        <w:t xml:space="preserve"> eura. Izmjena originalne projekcije ovih prihoda rezultat je očekivanog kretanja potrošnje pojedinih trošarinskih </w:t>
      </w:r>
      <w:r w:rsidR="00BE72A0">
        <w:rPr>
          <w:lang w:val="hr-HR"/>
        </w:rPr>
        <w:t xml:space="preserve">proizvoda, uzimajući u obzir i </w:t>
      </w:r>
      <w:r w:rsidRPr="00A53EF7">
        <w:rPr>
          <w:lang w:val="hr-HR"/>
        </w:rPr>
        <w:t>učinke izmjena propisa u oporezivanju energenata i električne energije.</w:t>
      </w:r>
      <w:r w:rsidRPr="003E2AE9">
        <w:rPr>
          <w:lang w:val="hr-HR"/>
        </w:rPr>
        <w:t xml:space="preserve"> </w:t>
      </w:r>
    </w:p>
    <w:p w:rsidR="0068374C" w:rsidRPr="003E2AE9" w:rsidRDefault="0068374C" w:rsidP="0068374C">
      <w:pPr>
        <w:jc w:val="both"/>
        <w:rPr>
          <w:b/>
          <w:i/>
          <w:lang w:val="hr-HR"/>
        </w:rPr>
      </w:pPr>
      <w:r w:rsidRPr="003E2AE9">
        <w:rPr>
          <w:b/>
          <w:i/>
          <w:lang w:val="hr-HR"/>
        </w:rPr>
        <w:t>Ostali porezi na robu i usluge</w:t>
      </w:r>
    </w:p>
    <w:p w:rsidR="0068374C" w:rsidRPr="003E2AE9" w:rsidRDefault="0068374C" w:rsidP="0068374C">
      <w:pPr>
        <w:jc w:val="both"/>
        <w:rPr>
          <w:lang w:val="hr-HR"/>
        </w:rPr>
      </w:pPr>
      <w:r w:rsidRPr="003E2AE9">
        <w:rPr>
          <w:lang w:val="hr-HR"/>
        </w:rPr>
        <w:t>Ova kategorija poreznih prihoda</w:t>
      </w:r>
      <w:r>
        <w:rPr>
          <w:lang w:val="hr-HR"/>
        </w:rPr>
        <w:t>, planirana u iznosu od 97,1 milijuna eura,</w:t>
      </w:r>
      <w:r w:rsidRPr="003E2AE9">
        <w:rPr>
          <w:lang w:val="hr-HR"/>
        </w:rPr>
        <w:t xml:space="preserve"> uključuje prihode od poreza na osiguranj</w:t>
      </w:r>
      <w:r>
        <w:rPr>
          <w:lang w:val="hr-HR"/>
        </w:rPr>
        <w:t>e</w:t>
      </w:r>
      <w:r w:rsidRPr="003E2AE9">
        <w:rPr>
          <w:lang w:val="hr-HR"/>
        </w:rPr>
        <w:t xml:space="preserve"> od automobilske odgovornosti i kasko </w:t>
      </w:r>
      <w:r w:rsidRPr="00931DCB">
        <w:rPr>
          <w:lang w:val="hr-HR"/>
        </w:rPr>
        <w:t xml:space="preserve">osiguranja i veća je za </w:t>
      </w:r>
      <w:r>
        <w:rPr>
          <w:lang w:val="hr-HR"/>
        </w:rPr>
        <w:t>16</w:t>
      </w:r>
      <w:r w:rsidRPr="00931DCB">
        <w:rPr>
          <w:lang w:val="hr-HR"/>
        </w:rPr>
        <w:t xml:space="preserve"> milijuna eura u odnosu na prvotni plan.</w:t>
      </w:r>
      <w:r w:rsidRPr="003E2AE9">
        <w:rPr>
          <w:lang w:val="hr-HR"/>
        </w:rPr>
        <w:t xml:space="preserve"> </w:t>
      </w:r>
    </w:p>
    <w:p w:rsidR="0068374C" w:rsidRPr="003E2AE9" w:rsidRDefault="0068374C" w:rsidP="0068374C">
      <w:pPr>
        <w:jc w:val="both"/>
        <w:rPr>
          <w:b/>
          <w:i/>
          <w:lang w:val="hr-HR"/>
        </w:rPr>
      </w:pPr>
      <w:r w:rsidRPr="003E2AE9">
        <w:rPr>
          <w:b/>
          <w:i/>
          <w:lang w:val="hr-HR"/>
        </w:rPr>
        <w:t>Porez na dobitke od igara na sreću i ostali porezi od igara na sreću</w:t>
      </w:r>
    </w:p>
    <w:p w:rsidR="0068374C" w:rsidRPr="003E2AE9" w:rsidRDefault="0068374C" w:rsidP="0068374C">
      <w:pPr>
        <w:jc w:val="both"/>
        <w:rPr>
          <w:lang w:val="hr-HR"/>
        </w:rPr>
      </w:pPr>
      <w:r w:rsidRPr="0014754F">
        <w:rPr>
          <w:lang w:val="hr-HR"/>
        </w:rPr>
        <w:t xml:space="preserve">Planirani prihod po osnovi poreza na dobitke od igara na sreću i ostalih poreza od igara na sreću </w:t>
      </w:r>
      <w:r>
        <w:rPr>
          <w:lang w:val="hr-HR"/>
        </w:rPr>
        <w:t>novim planom proračuna</w:t>
      </w:r>
      <w:r w:rsidRPr="0014754F">
        <w:rPr>
          <w:lang w:val="hr-HR"/>
        </w:rPr>
        <w:t xml:space="preserve"> za 202</w:t>
      </w:r>
      <w:r>
        <w:rPr>
          <w:lang w:val="hr-HR"/>
        </w:rPr>
        <w:t>4</w:t>
      </w:r>
      <w:r w:rsidRPr="0014754F">
        <w:rPr>
          <w:lang w:val="hr-HR"/>
        </w:rPr>
        <w:t xml:space="preserve">. godinu iznosi </w:t>
      </w:r>
      <w:r>
        <w:rPr>
          <w:lang w:val="hr-HR"/>
        </w:rPr>
        <w:t xml:space="preserve">80,7 </w:t>
      </w:r>
      <w:r w:rsidRPr="0014754F">
        <w:rPr>
          <w:lang w:val="hr-HR"/>
        </w:rPr>
        <w:t xml:space="preserve">milijuna eura i raste za </w:t>
      </w:r>
      <w:r>
        <w:rPr>
          <w:lang w:val="hr-HR"/>
        </w:rPr>
        <w:t xml:space="preserve">10,1 </w:t>
      </w:r>
      <w:r w:rsidRPr="0014754F">
        <w:rPr>
          <w:lang w:val="hr-HR"/>
        </w:rPr>
        <w:t xml:space="preserve">milijun eura u odnosu na prvotni plan. Plan prihoda od naknada za priređivanje igara na sreću povećava se za </w:t>
      </w:r>
      <w:r w:rsidR="00A33009">
        <w:rPr>
          <w:lang w:val="hr-HR"/>
        </w:rPr>
        <w:t>35,2</w:t>
      </w:r>
      <w:r w:rsidRPr="0014754F">
        <w:rPr>
          <w:lang w:val="hr-HR"/>
        </w:rPr>
        <w:t xml:space="preserve"> milijuna eura te iznosi </w:t>
      </w:r>
      <w:r w:rsidR="00A33009">
        <w:rPr>
          <w:lang w:val="hr-HR"/>
        </w:rPr>
        <w:t>260,8</w:t>
      </w:r>
      <w:r w:rsidRPr="0014754F">
        <w:rPr>
          <w:lang w:val="hr-HR"/>
        </w:rPr>
        <w:t xml:space="preserve"> milijuna eura.</w:t>
      </w:r>
      <w:r w:rsidRPr="003E2AE9">
        <w:rPr>
          <w:lang w:val="hr-HR"/>
        </w:rPr>
        <w:t xml:space="preserve"> </w:t>
      </w:r>
    </w:p>
    <w:p w:rsidR="0068374C" w:rsidRPr="003E2AE9" w:rsidRDefault="0068374C" w:rsidP="0068374C">
      <w:pPr>
        <w:jc w:val="both"/>
        <w:rPr>
          <w:b/>
          <w:i/>
          <w:lang w:val="hr-HR"/>
        </w:rPr>
      </w:pPr>
      <w:r w:rsidRPr="003E2AE9">
        <w:rPr>
          <w:b/>
          <w:i/>
          <w:lang w:val="hr-HR"/>
        </w:rPr>
        <w:t>Porezi na međunarodnu trgovinu i transakcije</w:t>
      </w:r>
    </w:p>
    <w:p w:rsidR="0068374C" w:rsidRPr="0054100C" w:rsidRDefault="0068374C" w:rsidP="0068374C">
      <w:pPr>
        <w:jc w:val="both"/>
        <w:rPr>
          <w:lang w:val="hr-HR"/>
        </w:rPr>
      </w:pPr>
      <w:r w:rsidRPr="001B146A">
        <w:rPr>
          <w:lang w:val="hr-HR"/>
        </w:rPr>
        <w:t xml:space="preserve">Prihod od poreza na međunarodnu trgovinu i transakcije planiran je </w:t>
      </w:r>
      <w:r>
        <w:rPr>
          <w:lang w:val="hr-HR"/>
        </w:rPr>
        <w:t xml:space="preserve">u 2024. godini </w:t>
      </w:r>
      <w:r w:rsidRPr="001B146A">
        <w:rPr>
          <w:lang w:val="hr-HR"/>
        </w:rPr>
        <w:t>u iznosu od 8</w:t>
      </w:r>
      <w:r>
        <w:rPr>
          <w:lang w:val="hr-HR"/>
        </w:rPr>
        <w:t>0,3</w:t>
      </w:r>
      <w:r w:rsidRPr="001B146A">
        <w:rPr>
          <w:lang w:val="hr-HR"/>
        </w:rPr>
        <w:t xml:space="preserve"> milijun</w:t>
      </w:r>
      <w:r>
        <w:rPr>
          <w:lang w:val="hr-HR"/>
        </w:rPr>
        <w:t>a</w:t>
      </w:r>
      <w:r w:rsidRPr="001B146A">
        <w:rPr>
          <w:lang w:val="hr-HR"/>
        </w:rPr>
        <w:t xml:space="preserve"> eura, čime se </w:t>
      </w:r>
      <w:r>
        <w:rPr>
          <w:lang w:val="hr-HR"/>
        </w:rPr>
        <w:t>smanjuje</w:t>
      </w:r>
      <w:r w:rsidRPr="001B146A">
        <w:rPr>
          <w:lang w:val="hr-HR"/>
        </w:rPr>
        <w:t xml:space="preserve"> za </w:t>
      </w:r>
      <w:r>
        <w:rPr>
          <w:lang w:val="hr-HR"/>
        </w:rPr>
        <w:t>1,3</w:t>
      </w:r>
      <w:r w:rsidRPr="001B146A">
        <w:rPr>
          <w:lang w:val="hr-HR"/>
        </w:rPr>
        <w:t xml:space="preserve"> milijuna eura</w:t>
      </w:r>
      <w:r>
        <w:rPr>
          <w:lang w:val="hr-HR"/>
        </w:rPr>
        <w:t xml:space="preserve"> u odnosu na prethodni plan</w:t>
      </w:r>
      <w:r w:rsidRPr="001B146A">
        <w:rPr>
          <w:lang w:val="hr-HR"/>
        </w:rPr>
        <w:t>.</w:t>
      </w:r>
      <w:r w:rsidRPr="003E2AE9">
        <w:rPr>
          <w:lang w:val="hr-HR"/>
        </w:rPr>
        <w:t xml:space="preserve"> </w:t>
      </w:r>
    </w:p>
    <w:p w:rsidR="0068374C" w:rsidRPr="003E2AE9" w:rsidRDefault="0068374C" w:rsidP="0068374C">
      <w:pPr>
        <w:jc w:val="both"/>
        <w:rPr>
          <w:b/>
          <w:i/>
          <w:lang w:val="hr-HR"/>
        </w:rPr>
      </w:pPr>
      <w:r w:rsidRPr="003E2AE9">
        <w:rPr>
          <w:b/>
          <w:i/>
          <w:lang w:val="hr-HR"/>
        </w:rPr>
        <w:t>Doprinosi</w:t>
      </w:r>
    </w:p>
    <w:p w:rsidR="0068374C" w:rsidRPr="003E2AE9" w:rsidRDefault="0068374C" w:rsidP="0068374C">
      <w:pPr>
        <w:jc w:val="both"/>
        <w:rPr>
          <w:lang w:val="hr-HR"/>
        </w:rPr>
      </w:pPr>
      <w:r w:rsidRPr="00427D4C">
        <w:rPr>
          <w:lang w:val="hr-HR"/>
        </w:rPr>
        <w:t>Izmjenama i dopunama Državnog proračuna Republike Hrvatske za 202</w:t>
      </w:r>
      <w:r>
        <w:rPr>
          <w:lang w:val="hr-HR"/>
        </w:rPr>
        <w:t>4</w:t>
      </w:r>
      <w:r w:rsidRPr="00427D4C">
        <w:rPr>
          <w:lang w:val="hr-HR"/>
        </w:rPr>
        <w:t xml:space="preserve">. godinu prihodi od doprinosa povećavaju se za </w:t>
      </w:r>
      <w:r>
        <w:rPr>
          <w:lang w:val="hr-HR"/>
        </w:rPr>
        <w:t>440</w:t>
      </w:r>
      <w:r w:rsidRPr="00427D4C">
        <w:rPr>
          <w:lang w:val="hr-HR"/>
        </w:rPr>
        <w:t xml:space="preserve"> milijuna eura i iznose </w:t>
      </w:r>
      <w:r>
        <w:rPr>
          <w:lang w:val="hr-HR"/>
        </w:rPr>
        <w:t>5 milijardi</w:t>
      </w:r>
      <w:r w:rsidRPr="00427D4C">
        <w:rPr>
          <w:lang w:val="hr-HR"/>
        </w:rPr>
        <w:t xml:space="preserve"> eura. Ovo povećanje rezultat je</w:t>
      </w:r>
      <w:r>
        <w:rPr>
          <w:lang w:val="hr-HR"/>
        </w:rPr>
        <w:t xml:space="preserve"> dosadašnjih ostvarenja prihoda po ovoj osnovi kao i</w:t>
      </w:r>
      <w:r w:rsidRPr="00427D4C">
        <w:rPr>
          <w:lang w:val="hr-HR"/>
        </w:rPr>
        <w:t xml:space="preserve"> kretanja na tržištu rada, odnosno očekivanog rasta plaća i zaposlenosti.</w:t>
      </w:r>
      <w:r w:rsidRPr="003E2AE9">
        <w:rPr>
          <w:lang w:val="hr-HR"/>
        </w:rPr>
        <w:t xml:space="preserve"> </w:t>
      </w:r>
    </w:p>
    <w:p w:rsidR="0068374C" w:rsidRPr="003E2AE9" w:rsidRDefault="0068374C" w:rsidP="0068374C">
      <w:pPr>
        <w:jc w:val="both"/>
        <w:rPr>
          <w:b/>
          <w:i/>
          <w:lang w:val="hr-HR"/>
        </w:rPr>
      </w:pPr>
      <w:r w:rsidRPr="003E2AE9">
        <w:rPr>
          <w:b/>
          <w:i/>
          <w:lang w:val="hr-HR"/>
        </w:rPr>
        <w:t>Pomoći</w:t>
      </w:r>
    </w:p>
    <w:p w:rsidR="0068374C" w:rsidRPr="003E2AE9" w:rsidRDefault="0068374C" w:rsidP="0068374C">
      <w:pPr>
        <w:jc w:val="both"/>
        <w:rPr>
          <w:lang w:val="hr-HR"/>
        </w:rPr>
      </w:pPr>
      <w:r w:rsidRPr="00216657">
        <w:rPr>
          <w:lang w:val="hr-HR"/>
        </w:rPr>
        <w:t>Prihodi od pomoći prema novom planu za 202</w:t>
      </w:r>
      <w:r>
        <w:rPr>
          <w:lang w:val="hr-HR"/>
        </w:rPr>
        <w:t>4</w:t>
      </w:r>
      <w:r w:rsidRPr="00216657">
        <w:rPr>
          <w:lang w:val="hr-HR"/>
        </w:rPr>
        <w:t xml:space="preserve">. planirani su u iznosu od </w:t>
      </w:r>
      <w:r>
        <w:rPr>
          <w:lang w:val="hr-HR"/>
        </w:rPr>
        <w:t>3,</w:t>
      </w:r>
      <w:r w:rsidR="00372A2E">
        <w:rPr>
          <w:lang w:val="hr-HR"/>
        </w:rPr>
        <w:t>2</w:t>
      </w:r>
      <w:r>
        <w:rPr>
          <w:lang w:val="hr-HR"/>
        </w:rPr>
        <w:t xml:space="preserve"> milijarde</w:t>
      </w:r>
      <w:r w:rsidRPr="00216657">
        <w:rPr>
          <w:lang w:val="hr-HR"/>
        </w:rPr>
        <w:t xml:space="preserve"> eura i u odnosu na prvotni plan </w:t>
      </w:r>
      <w:r>
        <w:rPr>
          <w:lang w:val="hr-HR"/>
        </w:rPr>
        <w:t>smanjuju</w:t>
      </w:r>
      <w:r w:rsidRPr="00216657">
        <w:rPr>
          <w:lang w:val="hr-HR"/>
        </w:rPr>
        <w:t xml:space="preserve"> se za </w:t>
      </w:r>
      <w:r w:rsidR="00372A2E">
        <w:rPr>
          <w:lang w:val="hr-HR"/>
        </w:rPr>
        <w:t>400,4</w:t>
      </w:r>
      <w:r w:rsidRPr="00216657">
        <w:rPr>
          <w:lang w:val="hr-HR"/>
        </w:rPr>
        <w:t xml:space="preserve"> milijuna eura. Ovi prihodi izravno su vezani uz pro</w:t>
      </w:r>
      <w:r w:rsidR="00905BD4">
        <w:rPr>
          <w:lang w:val="hr-HR"/>
        </w:rPr>
        <w:t xml:space="preserve">jekte financirane iz EU fondova </w:t>
      </w:r>
      <w:r w:rsidRPr="00216657">
        <w:rPr>
          <w:lang w:val="hr-HR"/>
        </w:rPr>
        <w:t xml:space="preserve">te </w:t>
      </w:r>
      <w:r>
        <w:rPr>
          <w:lang w:val="hr-HR"/>
        </w:rPr>
        <w:t>iz Mehanizma za oporavak i otpornost</w:t>
      </w:r>
      <w:r w:rsidRPr="00216657">
        <w:rPr>
          <w:lang w:val="hr-HR"/>
        </w:rPr>
        <w:t>.</w:t>
      </w:r>
    </w:p>
    <w:p w:rsidR="0068374C" w:rsidRPr="003E2AE9" w:rsidRDefault="0068374C" w:rsidP="0068374C">
      <w:pPr>
        <w:jc w:val="both"/>
        <w:rPr>
          <w:b/>
          <w:i/>
          <w:lang w:val="hr-HR"/>
        </w:rPr>
      </w:pPr>
      <w:r w:rsidRPr="003E2AE9">
        <w:rPr>
          <w:b/>
          <w:i/>
          <w:lang w:val="hr-HR"/>
        </w:rPr>
        <w:t>Prihodi od imovine</w:t>
      </w:r>
    </w:p>
    <w:p w:rsidR="00EB1AD0" w:rsidRDefault="0068374C" w:rsidP="0068374C">
      <w:pPr>
        <w:jc w:val="both"/>
        <w:rPr>
          <w:lang w:val="hr-HR"/>
        </w:rPr>
      </w:pPr>
      <w:r w:rsidRPr="003E2AE9">
        <w:rPr>
          <w:lang w:val="hr-HR"/>
        </w:rPr>
        <w:t>Prihodi od imovine sastoje se od prihoda od kamata (na dane zajmove, po vrijednosnim papirima, na oročena sredstva i depozite po viđenju te zateznih kamata), prihoda od dobiti trgovačkih društava, kreditnih i ostalih financijskih organizacija, prihoda od dividendi, koncesija, i</w:t>
      </w:r>
      <w:r w:rsidR="00716EB6">
        <w:rPr>
          <w:lang w:val="hr-HR"/>
        </w:rPr>
        <w:t xml:space="preserve">znajmljivanja i zakupa imovine </w:t>
      </w:r>
      <w:r w:rsidRPr="003E2AE9">
        <w:rPr>
          <w:lang w:val="hr-HR"/>
        </w:rPr>
        <w:t>te ostalih prihoda od imovine. Ovi prihodi dijelom se prikupljaju na redovnoj bazi, a dijelom kao jednokratni prihodi. Prihodi od imovin</w:t>
      </w:r>
      <w:r w:rsidRPr="003F7058">
        <w:rPr>
          <w:lang w:val="hr-HR"/>
        </w:rPr>
        <w:t>e novim planom proračuna za 202</w:t>
      </w:r>
      <w:r>
        <w:rPr>
          <w:lang w:val="hr-HR"/>
        </w:rPr>
        <w:t>4</w:t>
      </w:r>
      <w:r w:rsidRPr="003F7058">
        <w:rPr>
          <w:lang w:val="hr-HR"/>
        </w:rPr>
        <w:t xml:space="preserve">. godinu iznose </w:t>
      </w:r>
      <w:r w:rsidR="00EF26CB">
        <w:rPr>
          <w:lang w:val="hr-HR"/>
        </w:rPr>
        <w:t>606</w:t>
      </w:r>
      <w:r w:rsidRPr="003F7058">
        <w:rPr>
          <w:lang w:val="hr-HR"/>
        </w:rPr>
        <w:t xml:space="preserve"> milijuna eura, što je povećanje </w:t>
      </w:r>
      <w:r>
        <w:rPr>
          <w:lang w:val="hr-HR"/>
        </w:rPr>
        <w:t>od</w:t>
      </w:r>
      <w:r w:rsidRPr="003F7058">
        <w:rPr>
          <w:lang w:val="hr-HR"/>
        </w:rPr>
        <w:t xml:space="preserve"> </w:t>
      </w:r>
      <w:r w:rsidR="00EF26CB">
        <w:rPr>
          <w:lang w:val="hr-HR"/>
        </w:rPr>
        <w:t>191,2</w:t>
      </w:r>
      <w:r w:rsidRPr="003F7058">
        <w:rPr>
          <w:lang w:val="hr-HR"/>
        </w:rPr>
        <w:t xml:space="preserve"> milijuna eura u odnosu na prvotni plan. Ovi prihodi rastu zbog više očekivanih prihoda od uplate dividendi i dobiti poduzeća u državnom vlasništvu, </w:t>
      </w:r>
      <w:r>
        <w:rPr>
          <w:lang w:val="hr-HR"/>
        </w:rPr>
        <w:t>kao i zbog rasta prihoda od kamata i naknada za korištenje nefinancijske imovine</w:t>
      </w:r>
      <w:r w:rsidRPr="003F7058">
        <w:rPr>
          <w:lang w:val="hr-HR"/>
        </w:rPr>
        <w:t>.</w:t>
      </w:r>
      <w:r>
        <w:rPr>
          <w:lang w:val="hr-HR"/>
        </w:rPr>
        <w:t xml:space="preserve"> </w:t>
      </w:r>
    </w:p>
    <w:p w:rsidR="0068374C" w:rsidRPr="00EB1AD0" w:rsidRDefault="0068374C" w:rsidP="0068374C">
      <w:pPr>
        <w:jc w:val="both"/>
        <w:rPr>
          <w:lang w:val="hr-HR"/>
        </w:rPr>
      </w:pPr>
      <w:r w:rsidRPr="003E2AE9">
        <w:rPr>
          <w:b/>
          <w:i/>
          <w:lang w:val="hr-HR"/>
        </w:rPr>
        <w:lastRenderedPageBreak/>
        <w:t xml:space="preserve">Prihodi od upravnih i administrativnih pristojbi, </w:t>
      </w:r>
      <w:r>
        <w:rPr>
          <w:b/>
          <w:i/>
          <w:lang w:val="hr-HR"/>
        </w:rPr>
        <w:t>prihodi</w:t>
      </w:r>
      <w:r w:rsidRPr="003E2AE9">
        <w:rPr>
          <w:b/>
          <w:i/>
          <w:lang w:val="hr-HR"/>
        </w:rPr>
        <w:t xml:space="preserve"> po posebnim propisima i naknada</w:t>
      </w:r>
    </w:p>
    <w:p w:rsidR="0068374C" w:rsidRPr="003E2AE9" w:rsidRDefault="0068374C" w:rsidP="0068374C">
      <w:pPr>
        <w:jc w:val="both"/>
        <w:rPr>
          <w:lang w:val="hr-HR"/>
        </w:rPr>
      </w:pPr>
      <w:r w:rsidRPr="003E2AE9">
        <w:rPr>
          <w:lang w:val="hr-HR"/>
        </w:rPr>
        <w:t xml:space="preserve">Prihodi od upravnih i administrativnih pristojbi, </w:t>
      </w:r>
      <w:r>
        <w:rPr>
          <w:lang w:val="hr-HR"/>
        </w:rPr>
        <w:t>prihodi</w:t>
      </w:r>
      <w:r w:rsidRPr="003E2AE9">
        <w:rPr>
          <w:lang w:val="hr-HR"/>
        </w:rPr>
        <w:t xml:space="preserve"> po posebnim propisim</w:t>
      </w:r>
      <w:r>
        <w:rPr>
          <w:lang w:val="hr-HR"/>
        </w:rPr>
        <w:t>a i naknada novim planom za 2024</w:t>
      </w:r>
      <w:r w:rsidRPr="003E2AE9">
        <w:rPr>
          <w:lang w:val="hr-HR"/>
        </w:rPr>
        <w:t xml:space="preserve">. godinu planirani su </w:t>
      </w:r>
      <w:r>
        <w:rPr>
          <w:lang w:val="hr-HR"/>
        </w:rPr>
        <w:t xml:space="preserve">u iznosu </w:t>
      </w:r>
      <w:r w:rsidRPr="003E2AE9">
        <w:rPr>
          <w:lang w:val="hr-HR"/>
        </w:rPr>
        <w:t xml:space="preserve">od </w:t>
      </w:r>
      <w:r>
        <w:rPr>
          <w:lang w:val="hr-HR"/>
        </w:rPr>
        <w:t>864,8 milijuna eura</w:t>
      </w:r>
      <w:r w:rsidRPr="003E2AE9">
        <w:rPr>
          <w:lang w:val="hr-HR"/>
        </w:rPr>
        <w:t xml:space="preserve">, a u odnosu na prvotno planirane prihode </w:t>
      </w:r>
      <w:r w:rsidRPr="003F7058">
        <w:rPr>
          <w:lang w:val="hr-HR"/>
        </w:rPr>
        <w:t xml:space="preserve">povećavaju se za </w:t>
      </w:r>
      <w:r>
        <w:rPr>
          <w:lang w:val="hr-HR"/>
        </w:rPr>
        <w:t>155,7</w:t>
      </w:r>
      <w:r w:rsidRPr="003F7058">
        <w:rPr>
          <w:lang w:val="hr-HR"/>
        </w:rPr>
        <w:t xml:space="preserve"> milijun</w:t>
      </w:r>
      <w:r>
        <w:rPr>
          <w:lang w:val="hr-HR"/>
        </w:rPr>
        <w:t>a</w:t>
      </w:r>
      <w:r w:rsidRPr="003F7058">
        <w:rPr>
          <w:lang w:val="hr-HR"/>
        </w:rPr>
        <w:t xml:space="preserve"> eura.</w:t>
      </w:r>
      <w:r>
        <w:rPr>
          <w:lang w:val="hr-HR"/>
        </w:rPr>
        <w:t xml:space="preserve"> Pritom prihodi</w:t>
      </w:r>
      <w:r w:rsidRPr="003E2AE9">
        <w:rPr>
          <w:lang w:val="hr-HR"/>
        </w:rPr>
        <w:t xml:space="preserve"> od upravnih i administrativnih pristojbi </w:t>
      </w:r>
      <w:r>
        <w:rPr>
          <w:lang w:val="hr-HR"/>
        </w:rPr>
        <w:t>iznose</w:t>
      </w:r>
      <w:r w:rsidRPr="004B048B">
        <w:rPr>
          <w:lang w:val="hr-HR"/>
        </w:rPr>
        <w:t xml:space="preserve"> </w:t>
      </w:r>
      <w:r>
        <w:rPr>
          <w:lang w:val="hr-HR"/>
        </w:rPr>
        <w:t xml:space="preserve">158 milijuna eura, a prihodi </w:t>
      </w:r>
      <w:r w:rsidRPr="004B048B">
        <w:rPr>
          <w:lang w:val="hr-HR"/>
        </w:rPr>
        <w:t xml:space="preserve">po posebnim propisima </w:t>
      </w:r>
      <w:r>
        <w:rPr>
          <w:lang w:val="hr-HR"/>
        </w:rPr>
        <w:t>706,8</w:t>
      </w:r>
      <w:r w:rsidRPr="004B048B">
        <w:rPr>
          <w:lang w:val="hr-HR"/>
        </w:rPr>
        <w:t xml:space="preserve"> milijuna eura.</w:t>
      </w:r>
      <w:r w:rsidRPr="003E2AE9">
        <w:rPr>
          <w:lang w:val="hr-HR"/>
        </w:rPr>
        <w:t xml:space="preserve"> </w:t>
      </w:r>
    </w:p>
    <w:p w:rsidR="0068374C" w:rsidRPr="003E2AE9" w:rsidRDefault="0068374C" w:rsidP="0068374C">
      <w:pPr>
        <w:jc w:val="both"/>
        <w:rPr>
          <w:b/>
          <w:i/>
          <w:lang w:val="hr-HR"/>
        </w:rPr>
      </w:pPr>
      <w:r w:rsidRPr="003E2AE9">
        <w:rPr>
          <w:b/>
          <w:i/>
          <w:lang w:val="hr-HR"/>
        </w:rPr>
        <w:t>Prihodi od prodaje proizvoda i roba te pruženih usluga i prihodi od donacija</w:t>
      </w:r>
    </w:p>
    <w:p w:rsidR="0068374C" w:rsidRPr="003E2AE9" w:rsidRDefault="0068374C" w:rsidP="0068374C">
      <w:pPr>
        <w:jc w:val="both"/>
        <w:rPr>
          <w:lang w:val="hr-HR"/>
        </w:rPr>
      </w:pPr>
      <w:r w:rsidRPr="003E2AE9">
        <w:rPr>
          <w:lang w:val="hr-HR"/>
        </w:rPr>
        <w:t>Prihode od prodaje proizvoda i roba te pruženih usluga i prihode od donacija planiraju proračunski korisnici i to su njihovi namjenski prihodi. Ovi prihodi novim planom za 202</w:t>
      </w:r>
      <w:r>
        <w:rPr>
          <w:lang w:val="hr-HR"/>
        </w:rPr>
        <w:t>4</w:t>
      </w:r>
      <w:r w:rsidRPr="003E2AE9">
        <w:rPr>
          <w:lang w:val="hr-HR"/>
        </w:rPr>
        <w:t xml:space="preserve">. godinu planirani su u </w:t>
      </w:r>
      <w:r w:rsidRPr="0051793F">
        <w:rPr>
          <w:lang w:val="hr-HR"/>
        </w:rPr>
        <w:t xml:space="preserve">iznosu od </w:t>
      </w:r>
      <w:r>
        <w:rPr>
          <w:lang w:val="hr-HR"/>
        </w:rPr>
        <w:t>236</w:t>
      </w:r>
      <w:r w:rsidRPr="0051793F">
        <w:rPr>
          <w:lang w:val="hr-HR"/>
        </w:rPr>
        <w:t xml:space="preserve">,3 milijuna eura i povećavaju se za </w:t>
      </w:r>
      <w:r>
        <w:rPr>
          <w:lang w:val="hr-HR"/>
        </w:rPr>
        <w:t>12</w:t>
      </w:r>
      <w:r w:rsidRPr="0051793F">
        <w:rPr>
          <w:lang w:val="hr-HR"/>
        </w:rPr>
        <w:t>,2 milijuna eura u odnosu na iznos planiran proračunom za 202</w:t>
      </w:r>
      <w:r>
        <w:rPr>
          <w:lang w:val="hr-HR"/>
        </w:rPr>
        <w:t>4</w:t>
      </w:r>
      <w:r w:rsidRPr="0051793F">
        <w:rPr>
          <w:lang w:val="hr-HR"/>
        </w:rPr>
        <w:t>. godinu.</w:t>
      </w:r>
      <w:r w:rsidRPr="003E2AE9">
        <w:rPr>
          <w:lang w:val="hr-HR"/>
        </w:rPr>
        <w:t xml:space="preserve"> </w:t>
      </w:r>
    </w:p>
    <w:p w:rsidR="0068374C" w:rsidRPr="003E2AE9" w:rsidRDefault="0068374C" w:rsidP="0068374C">
      <w:pPr>
        <w:jc w:val="both"/>
        <w:rPr>
          <w:b/>
          <w:i/>
          <w:lang w:val="hr-HR"/>
        </w:rPr>
      </w:pPr>
      <w:r w:rsidRPr="003E2AE9">
        <w:rPr>
          <w:b/>
          <w:i/>
          <w:lang w:val="hr-HR"/>
        </w:rPr>
        <w:t>Prihodi iz nadležnog proračuna i od HZZO-a temeljem ugovornih obveza</w:t>
      </w:r>
    </w:p>
    <w:p w:rsidR="0068374C" w:rsidRPr="007E5DA9" w:rsidRDefault="0068374C" w:rsidP="0068374C">
      <w:pPr>
        <w:spacing w:before="240"/>
        <w:jc w:val="both"/>
        <w:rPr>
          <w:rFonts w:eastAsia="Calibri" w:cstheme="minorHAnsi"/>
          <w:lang w:val="hr-HR"/>
        </w:rPr>
      </w:pPr>
      <w:r w:rsidRPr="0051793F">
        <w:rPr>
          <w:lang w:val="hr-HR"/>
        </w:rPr>
        <w:t>Novim planom za 202</w:t>
      </w:r>
      <w:r>
        <w:rPr>
          <w:lang w:val="hr-HR"/>
        </w:rPr>
        <w:t>4</w:t>
      </w:r>
      <w:r w:rsidRPr="0051793F">
        <w:rPr>
          <w:lang w:val="hr-HR"/>
        </w:rPr>
        <w:t xml:space="preserve">. godinu očekuje se kako će prihodi iz nadležnog proračuna i od HZZO-a temeljem ugovornih obveza </w:t>
      </w:r>
      <w:r>
        <w:rPr>
          <w:lang w:val="hr-HR"/>
        </w:rPr>
        <w:t xml:space="preserve">prema bolničkim zdravstvenim ustanovama u državnom vlasništvu, </w:t>
      </w:r>
      <w:r w:rsidRPr="0051793F">
        <w:rPr>
          <w:lang w:val="hr-HR"/>
        </w:rPr>
        <w:t xml:space="preserve">iznositi </w:t>
      </w:r>
      <w:r>
        <w:rPr>
          <w:lang w:val="hr-HR"/>
        </w:rPr>
        <w:t>2</w:t>
      </w:r>
      <w:r w:rsidRPr="0051793F">
        <w:rPr>
          <w:lang w:val="hr-HR"/>
        </w:rPr>
        <w:t>,</w:t>
      </w:r>
      <w:r>
        <w:rPr>
          <w:lang w:val="hr-HR"/>
        </w:rPr>
        <w:t>7 milijardi</w:t>
      </w:r>
      <w:r w:rsidRPr="0051793F">
        <w:rPr>
          <w:lang w:val="hr-HR"/>
        </w:rPr>
        <w:t xml:space="preserve"> eura, a u odnosu na prvotno planirane povećavaju se za </w:t>
      </w:r>
      <w:r>
        <w:rPr>
          <w:lang w:val="hr-HR"/>
        </w:rPr>
        <w:t>47,1</w:t>
      </w:r>
      <w:r w:rsidRPr="0051793F">
        <w:rPr>
          <w:lang w:val="hr-HR"/>
        </w:rPr>
        <w:t xml:space="preserve"> milijun eura.</w:t>
      </w:r>
      <w:r w:rsidRPr="003E2AE9">
        <w:rPr>
          <w:lang w:val="hr-HR"/>
        </w:rPr>
        <w:t xml:space="preserve"> </w:t>
      </w:r>
      <w:r>
        <w:rPr>
          <w:rFonts w:eastAsia="Calibri" w:cstheme="minorHAnsi"/>
          <w:lang w:val="hr-HR"/>
        </w:rPr>
        <w:t>Pritom valja istaknuti kako planirani iznosi odražavaju i prihode općih županijskih bolnica za koje su se od 1. siječnja 2024. osnivačka prava prenijela na državu sa županija i grada Zagreba.</w:t>
      </w:r>
    </w:p>
    <w:p w:rsidR="0068374C" w:rsidRPr="003E2AE9" w:rsidRDefault="0068374C" w:rsidP="0068374C">
      <w:pPr>
        <w:jc w:val="both"/>
        <w:rPr>
          <w:b/>
          <w:i/>
          <w:lang w:val="hr-HR"/>
        </w:rPr>
      </w:pPr>
      <w:r w:rsidRPr="003E2AE9">
        <w:rPr>
          <w:b/>
          <w:i/>
          <w:lang w:val="hr-HR"/>
        </w:rPr>
        <w:t>Kazne, upravne mjere i ostali prihodi</w:t>
      </w:r>
    </w:p>
    <w:p w:rsidR="0068374C" w:rsidRPr="005D6938" w:rsidRDefault="0068374C" w:rsidP="0068374C">
      <w:pPr>
        <w:jc w:val="both"/>
        <w:rPr>
          <w:lang w:val="hr-HR"/>
        </w:rPr>
      </w:pPr>
      <w:r w:rsidRPr="003E2AE9">
        <w:rPr>
          <w:lang w:val="hr-HR"/>
        </w:rPr>
        <w:t>Prihodi od kazni, upravnih mjera i ostalih prihoda novim planom za 202</w:t>
      </w:r>
      <w:r>
        <w:rPr>
          <w:lang w:val="hr-HR"/>
        </w:rPr>
        <w:t>4</w:t>
      </w:r>
      <w:r w:rsidRPr="003E2AE9">
        <w:rPr>
          <w:lang w:val="hr-HR"/>
        </w:rPr>
        <w:t xml:space="preserve">. godinu iznose </w:t>
      </w:r>
      <w:r>
        <w:rPr>
          <w:lang w:val="hr-HR"/>
        </w:rPr>
        <w:t>2</w:t>
      </w:r>
      <w:r w:rsidR="002734F4">
        <w:rPr>
          <w:lang w:val="hr-HR"/>
        </w:rPr>
        <w:t>61</w:t>
      </w:r>
      <w:r>
        <w:rPr>
          <w:lang w:val="hr-HR"/>
        </w:rPr>
        <w:t xml:space="preserve">,4 milijuna </w:t>
      </w:r>
      <w:r w:rsidRPr="007A4E77">
        <w:rPr>
          <w:lang w:val="hr-HR"/>
        </w:rPr>
        <w:t xml:space="preserve">eura i rastu za </w:t>
      </w:r>
      <w:r>
        <w:rPr>
          <w:lang w:val="hr-HR"/>
        </w:rPr>
        <w:t>13</w:t>
      </w:r>
      <w:r w:rsidR="002734F4">
        <w:rPr>
          <w:lang w:val="hr-HR"/>
        </w:rPr>
        <w:t>9</w:t>
      </w:r>
      <w:r>
        <w:rPr>
          <w:lang w:val="hr-HR"/>
        </w:rPr>
        <w:t>,8</w:t>
      </w:r>
      <w:r w:rsidRPr="007A4E77">
        <w:rPr>
          <w:lang w:val="hr-HR"/>
        </w:rPr>
        <w:t xml:space="preserve"> milijuna</w:t>
      </w:r>
      <w:r>
        <w:rPr>
          <w:lang w:val="hr-HR"/>
        </w:rPr>
        <w:t xml:space="preserve"> eura</w:t>
      </w:r>
      <w:r w:rsidRPr="003E2AE9">
        <w:rPr>
          <w:lang w:val="hr-HR"/>
        </w:rPr>
        <w:t xml:space="preserve"> u odnosu na prvotni plan. Ovi prihodi planirani su sukladno</w:t>
      </w:r>
      <w:r>
        <w:rPr>
          <w:lang w:val="hr-HR"/>
        </w:rPr>
        <w:t xml:space="preserve"> dinamici</w:t>
      </w:r>
      <w:r w:rsidRPr="003E2AE9">
        <w:rPr>
          <w:lang w:val="hr-HR"/>
        </w:rPr>
        <w:t xml:space="preserve"> ostvarenj</w:t>
      </w:r>
      <w:r>
        <w:rPr>
          <w:lang w:val="hr-HR"/>
        </w:rPr>
        <w:t>a</w:t>
      </w:r>
      <w:r w:rsidRPr="003E2AE9">
        <w:rPr>
          <w:lang w:val="hr-HR"/>
        </w:rPr>
        <w:t xml:space="preserve"> </w:t>
      </w:r>
      <w:r>
        <w:rPr>
          <w:lang w:val="hr-HR"/>
        </w:rPr>
        <w:t xml:space="preserve">ovih </w:t>
      </w:r>
      <w:r w:rsidRPr="003E2AE9">
        <w:rPr>
          <w:lang w:val="hr-HR"/>
        </w:rPr>
        <w:t>proračunskih prihoda u</w:t>
      </w:r>
      <w:r>
        <w:rPr>
          <w:lang w:val="hr-HR"/>
        </w:rPr>
        <w:t xml:space="preserve"> prvih osam mjeseci ove godine</w:t>
      </w:r>
      <w:r w:rsidRPr="003E2AE9">
        <w:rPr>
          <w:lang w:val="hr-HR"/>
        </w:rPr>
        <w:t xml:space="preserve"> te očekivanim kretanjima do kraja godine. </w:t>
      </w:r>
      <w:r>
        <w:rPr>
          <w:lang w:val="hr-HR"/>
        </w:rPr>
        <w:t xml:space="preserve">Također, u ovaj iznos uračunata je </w:t>
      </w:r>
      <w:r w:rsidRPr="005D6938">
        <w:rPr>
          <w:lang w:val="hr-HR"/>
        </w:rPr>
        <w:t>i uplata HEP-a od prihoda od prodaje plina u iznosu od 120 milijuna eura, temeljem Odluke o izmjenama Odluke o osiguranju zaliha plina na teritoriju Republike Hrvatske</w:t>
      </w:r>
      <w:r w:rsidRPr="005D6938">
        <w:rPr>
          <w:rStyle w:val="FootnoteReference"/>
          <w:lang w:val="hr-HR"/>
        </w:rPr>
        <w:footnoteReference w:id="2"/>
      </w:r>
      <w:r w:rsidRPr="005D6938">
        <w:rPr>
          <w:lang w:val="hr-HR"/>
        </w:rPr>
        <w:t>, a koju je Vlada Republike Hrvatske donijela u siječnju 2024. godine.</w:t>
      </w:r>
    </w:p>
    <w:p w:rsidR="0068374C" w:rsidRPr="003E2AE9" w:rsidRDefault="0068374C" w:rsidP="0068374C">
      <w:pPr>
        <w:jc w:val="both"/>
        <w:rPr>
          <w:b/>
          <w:lang w:val="hr-HR"/>
        </w:rPr>
      </w:pPr>
      <w:r w:rsidRPr="003E2AE9">
        <w:rPr>
          <w:b/>
          <w:lang w:val="hr-HR"/>
        </w:rPr>
        <w:t>Prihodi od prodaje nefinancijske imovine</w:t>
      </w:r>
    </w:p>
    <w:p w:rsidR="0068374C" w:rsidRPr="00513178" w:rsidRDefault="0068374C" w:rsidP="0068374C">
      <w:pPr>
        <w:jc w:val="both"/>
        <w:rPr>
          <w:lang w:val="hr-HR"/>
        </w:rPr>
      </w:pPr>
      <w:r w:rsidRPr="00513178">
        <w:rPr>
          <w:lang w:val="hr-HR"/>
        </w:rPr>
        <w:t>Prihodi od prodaje nefinancijske imovine Izmjenama i dopunama Državnog proračuna RH za 2024. godinu planiraju se u iznosu od 180,</w:t>
      </w:r>
      <w:r w:rsidR="0005291D" w:rsidRPr="00513178">
        <w:rPr>
          <w:lang w:val="hr-HR"/>
        </w:rPr>
        <w:t>9</w:t>
      </w:r>
      <w:r w:rsidRPr="00513178">
        <w:rPr>
          <w:lang w:val="hr-HR"/>
        </w:rPr>
        <w:t xml:space="preserve"> milijuna eura i povećavaju se za 93,8 milijuna eura u odnosu na prvotni plan. Ovi se prihodi najvećim dijelom ostvaruju prodajom zemljišta, stanova i ostalih građevinskih objekata, kao i prihodima od prodaje zaliha odnosno nafte i naftnih derivata radi zanavljanja zaliha. Također, u ovaj iznos uključeni su prihodi vezani uz </w:t>
      </w:r>
      <w:r w:rsidRPr="00513178">
        <w:rPr>
          <w:rFonts w:ascii="Calibri" w:eastAsia="Times New Roman" w:hAnsi="Calibri" w:cs="Calibri"/>
          <w:color w:val="000000"/>
          <w:lang w:val="hr-HR" w:eastAsia="hr-HR"/>
        </w:rPr>
        <w:t xml:space="preserve">klirinški dug HEP-a prema državnom proračunu u iznosu od 120,4 </w:t>
      </w:r>
      <w:r w:rsidRPr="00513178">
        <w:rPr>
          <w:lang w:val="hr-HR"/>
        </w:rPr>
        <w:t xml:space="preserve">milijuna USD. Ovo se odnosi na isporučenu opremu </w:t>
      </w:r>
      <w:r w:rsidR="00CA41D6">
        <w:rPr>
          <w:lang w:val="hr-HR"/>
        </w:rPr>
        <w:t xml:space="preserve">HEP-u za izgradnju termoelektrane Sisak, a </w:t>
      </w:r>
      <w:r w:rsidRPr="00513178">
        <w:rPr>
          <w:lang w:val="hr-HR"/>
        </w:rPr>
        <w:t>na ime podmirenja klirinškog duga Ruske Federacije prema RH</w:t>
      </w:r>
      <w:r w:rsidR="00CA41D6">
        <w:rPr>
          <w:lang w:val="hr-HR"/>
        </w:rPr>
        <w:t>.</w:t>
      </w:r>
      <w:r w:rsidRPr="00513178">
        <w:rPr>
          <w:lang w:val="hr-HR"/>
        </w:rPr>
        <w:t xml:space="preserve"> </w:t>
      </w:r>
    </w:p>
    <w:p w:rsidR="0005291D" w:rsidRDefault="0005291D" w:rsidP="0076522F">
      <w:pPr>
        <w:pStyle w:val="Caption"/>
        <w:spacing w:before="240" w:after="120"/>
        <w:jc w:val="both"/>
        <w:rPr>
          <w:rFonts w:asciiTheme="minorHAnsi" w:hAnsiTheme="minorHAnsi"/>
          <w:b w:val="0"/>
          <w:i/>
          <w:sz w:val="22"/>
          <w:szCs w:val="22"/>
        </w:rPr>
      </w:pPr>
    </w:p>
    <w:p w:rsidR="0005291D" w:rsidRDefault="0005291D" w:rsidP="0076522F">
      <w:pPr>
        <w:pStyle w:val="Caption"/>
        <w:spacing w:before="240" w:after="120"/>
        <w:jc w:val="both"/>
        <w:rPr>
          <w:rFonts w:asciiTheme="minorHAnsi" w:hAnsiTheme="minorHAnsi"/>
          <w:b w:val="0"/>
          <w:i/>
          <w:sz w:val="22"/>
          <w:szCs w:val="22"/>
        </w:rPr>
      </w:pPr>
    </w:p>
    <w:p w:rsidR="00EB1AD0" w:rsidRDefault="00EB1AD0" w:rsidP="0076522F">
      <w:pPr>
        <w:pStyle w:val="Caption"/>
        <w:spacing w:before="240" w:after="120"/>
        <w:jc w:val="both"/>
        <w:rPr>
          <w:rFonts w:asciiTheme="minorHAnsi" w:hAnsiTheme="minorHAnsi"/>
          <w:b w:val="0"/>
          <w:i/>
          <w:sz w:val="22"/>
          <w:szCs w:val="22"/>
        </w:rPr>
      </w:pPr>
    </w:p>
    <w:p w:rsidR="00025948" w:rsidRDefault="00025948" w:rsidP="0076522F">
      <w:pPr>
        <w:pStyle w:val="Caption"/>
        <w:spacing w:before="240" w:after="120"/>
        <w:jc w:val="both"/>
        <w:rPr>
          <w:rFonts w:asciiTheme="minorHAnsi" w:hAnsiTheme="minorHAnsi"/>
          <w:b w:val="0"/>
          <w:i/>
          <w:sz w:val="22"/>
          <w:szCs w:val="22"/>
        </w:rPr>
      </w:pPr>
      <w:r w:rsidRPr="00ED0B28">
        <w:rPr>
          <w:rFonts w:asciiTheme="minorHAnsi" w:hAnsiTheme="minorHAnsi"/>
          <w:b w:val="0"/>
          <w:i/>
          <w:sz w:val="22"/>
          <w:szCs w:val="22"/>
        </w:rPr>
        <w:lastRenderedPageBreak/>
        <w:t xml:space="preserve">Tablica </w:t>
      </w:r>
      <w:r w:rsidR="00F03484">
        <w:rPr>
          <w:rFonts w:asciiTheme="minorHAnsi" w:hAnsiTheme="minorHAnsi"/>
          <w:b w:val="0"/>
          <w:i/>
          <w:sz w:val="22"/>
          <w:szCs w:val="22"/>
        </w:rPr>
        <w:t>2</w:t>
      </w:r>
      <w:r w:rsidRPr="00ED0B28">
        <w:rPr>
          <w:rFonts w:asciiTheme="minorHAnsi" w:hAnsiTheme="minorHAnsi"/>
          <w:b w:val="0"/>
          <w:i/>
          <w:sz w:val="22"/>
          <w:szCs w:val="22"/>
        </w:rPr>
        <w:t>. Prihodi državnog proračuna za 20</w:t>
      </w:r>
      <w:r w:rsidR="00890A93" w:rsidRPr="00ED0B28">
        <w:rPr>
          <w:rFonts w:asciiTheme="minorHAnsi" w:hAnsiTheme="minorHAnsi"/>
          <w:b w:val="0"/>
          <w:i/>
          <w:sz w:val="22"/>
          <w:szCs w:val="22"/>
        </w:rPr>
        <w:t>2</w:t>
      </w:r>
      <w:r w:rsidR="0068374C">
        <w:rPr>
          <w:rFonts w:asciiTheme="minorHAnsi" w:hAnsiTheme="minorHAnsi"/>
          <w:b w:val="0"/>
          <w:i/>
          <w:sz w:val="22"/>
          <w:szCs w:val="22"/>
        </w:rPr>
        <w:t>4</w:t>
      </w:r>
      <w:r w:rsidRPr="00ED0B28">
        <w:rPr>
          <w:rFonts w:asciiTheme="minorHAnsi" w:hAnsiTheme="minorHAnsi"/>
          <w:b w:val="0"/>
          <w:i/>
          <w:sz w:val="22"/>
          <w:szCs w:val="22"/>
        </w:rPr>
        <w:t>. godinu</w:t>
      </w:r>
    </w:p>
    <w:p w:rsidR="000D3576" w:rsidRPr="00364E3D" w:rsidRDefault="009D1EC4" w:rsidP="00364E3D">
      <w:pPr>
        <w:spacing w:after="0"/>
        <w:rPr>
          <w:noProof/>
          <w:lang w:val="hr-HR" w:eastAsia="hr-HR"/>
        </w:rPr>
      </w:pPr>
      <w:r w:rsidRPr="009D1EC4">
        <w:rPr>
          <w:noProof/>
          <w:lang w:val="hr-HR" w:eastAsia="hr-HR"/>
        </w:rPr>
        <w:drawing>
          <wp:inline distT="0" distB="0" distL="0" distR="0">
            <wp:extent cx="5760720" cy="3731595"/>
            <wp:effectExtent l="0" t="0" r="0" b="254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731595"/>
                    </a:xfrm>
                    <a:prstGeom prst="rect">
                      <a:avLst/>
                    </a:prstGeom>
                    <a:noFill/>
                    <a:ln>
                      <a:noFill/>
                    </a:ln>
                  </pic:spPr>
                </pic:pic>
              </a:graphicData>
            </a:graphic>
          </wp:inline>
        </w:drawing>
      </w:r>
    </w:p>
    <w:p w:rsidR="00025948" w:rsidRPr="00A22498" w:rsidRDefault="00025948" w:rsidP="00A22498">
      <w:pPr>
        <w:jc w:val="both"/>
        <w:rPr>
          <w:rFonts w:cs="Times New Roman"/>
          <w:i/>
          <w:color w:val="000000"/>
          <w:lang w:val="hr-HR"/>
        </w:rPr>
      </w:pPr>
      <w:r w:rsidRPr="009B5CBF">
        <w:rPr>
          <w:rFonts w:cs="Times New Roman"/>
          <w:i/>
          <w:color w:val="000000"/>
          <w:lang w:val="hr-HR"/>
        </w:rPr>
        <w:t>Izvor: Ministarstvo financija</w:t>
      </w:r>
      <w:r w:rsidRPr="009B5CBF">
        <w:rPr>
          <w:lang w:val="hr-HR"/>
        </w:rPr>
        <w:br w:type="page"/>
      </w:r>
    </w:p>
    <w:p w:rsidR="00A461B3" w:rsidRPr="003459A2" w:rsidRDefault="00A461B3" w:rsidP="00A461B3">
      <w:pPr>
        <w:pStyle w:val="Heading1"/>
        <w:numPr>
          <w:ilvl w:val="0"/>
          <w:numId w:val="1"/>
        </w:numPr>
        <w:rPr>
          <w:lang w:val="hr-HR"/>
        </w:rPr>
      </w:pPr>
      <w:bookmarkStart w:id="8" w:name="_Toc381720707"/>
      <w:bookmarkStart w:id="9" w:name="_Toc497069943"/>
      <w:bookmarkStart w:id="10" w:name="_Toc23378480"/>
      <w:bookmarkStart w:id="11" w:name="_Toc178762833"/>
      <w:r w:rsidRPr="003459A2">
        <w:rPr>
          <w:lang w:val="hr-HR"/>
        </w:rPr>
        <w:lastRenderedPageBreak/>
        <w:t>RASHODI DRŽAVNOG PRORAČUNA</w:t>
      </w:r>
      <w:bookmarkEnd w:id="8"/>
      <w:bookmarkEnd w:id="9"/>
      <w:bookmarkEnd w:id="10"/>
      <w:bookmarkEnd w:id="11"/>
      <w:r w:rsidRPr="003459A2">
        <w:rPr>
          <w:lang w:val="hr-HR"/>
        </w:rPr>
        <w:t xml:space="preserve"> </w:t>
      </w:r>
    </w:p>
    <w:p w:rsidR="00D92DB5" w:rsidRPr="003459A2" w:rsidRDefault="00D92DB5" w:rsidP="00D92DB5">
      <w:pPr>
        <w:shd w:val="clear" w:color="auto" w:fill="FFFFFF"/>
        <w:spacing w:after="0" w:line="240" w:lineRule="auto"/>
        <w:jc w:val="both"/>
        <w:rPr>
          <w:rFonts w:cstheme="minorHAnsi"/>
          <w:sz w:val="24"/>
          <w:szCs w:val="24"/>
          <w:lang w:val="hr-HR"/>
        </w:rPr>
      </w:pPr>
    </w:p>
    <w:p w:rsidR="0054100C" w:rsidRPr="003459A2" w:rsidRDefault="0054100C" w:rsidP="0054100C">
      <w:pPr>
        <w:spacing w:after="0" w:line="240" w:lineRule="auto"/>
        <w:jc w:val="both"/>
        <w:rPr>
          <w:rFonts w:cstheme="minorHAnsi"/>
          <w:lang w:val="hr-HR"/>
        </w:rPr>
      </w:pPr>
    </w:p>
    <w:p w:rsidR="00AC1D21" w:rsidRPr="00AC1D21" w:rsidRDefault="00AC1D21" w:rsidP="00AC1D21">
      <w:pPr>
        <w:shd w:val="clear" w:color="auto" w:fill="FFFFFF"/>
        <w:spacing w:after="0"/>
        <w:jc w:val="both"/>
        <w:rPr>
          <w:rFonts w:cstheme="minorHAnsi"/>
          <w:lang w:val="hr-HR"/>
        </w:rPr>
      </w:pPr>
      <w:r w:rsidRPr="00AC1D21">
        <w:rPr>
          <w:rFonts w:cstheme="minorHAnsi"/>
          <w:lang w:val="hr-HR"/>
        </w:rPr>
        <w:t>Ovim Izmjenama i dopunama Državnog proračuna za 2024. godinu ukupni rashodi povećavaju se za 975,6 milijuna eura, odnosno sa 32,6 milijardi eura na 33,6 milijardi eura pri čemu se rashodi koji se financiraju iz općih prihoda i primitaka, doprinosa i namjenskih primitaka povećavaju za 1,1 milijardu eura, dok se rashodi koji se financiraju iz EU i ostalih izvora smanjuju za 139,6 milijuna eura.</w:t>
      </w:r>
    </w:p>
    <w:p w:rsidR="00AC1D21" w:rsidRPr="00AC1D21" w:rsidRDefault="00AC1D21" w:rsidP="00AC1D21">
      <w:pPr>
        <w:shd w:val="clear" w:color="auto" w:fill="FFFFFF"/>
        <w:spacing w:after="0"/>
        <w:jc w:val="both"/>
        <w:rPr>
          <w:rFonts w:cstheme="minorHAnsi"/>
          <w:lang w:val="hr-HR"/>
        </w:rPr>
      </w:pPr>
    </w:p>
    <w:p w:rsidR="00F21197" w:rsidRDefault="00AC1D21" w:rsidP="00AC1D21">
      <w:pPr>
        <w:shd w:val="clear" w:color="auto" w:fill="FFFFFF"/>
        <w:spacing w:after="0"/>
        <w:jc w:val="both"/>
        <w:rPr>
          <w:rFonts w:cstheme="minorHAnsi"/>
          <w:lang w:val="hr-HR"/>
        </w:rPr>
      </w:pPr>
      <w:r w:rsidRPr="00AC1D21">
        <w:rPr>
          <w:rFonts w:cstheme="minorHAnsi"/>
          <w:lang w:val="hr-HR"/>
        </w:rPr>
        <w:t>Najznačajnija kretanja na stavkama rashoda vezana su uz osiguranje dodatnih sredstava za rashode za zaposlene zbog provedbe cjelovite reforme sustava plaća, za pokriće troškova vezanih uz nastavak obnove zgrada oštećenih potresom na području Grada Zagreba, Krapinsko-zagorske županije, Zagrebačke županije, Sisačko-moslavačke županije i Karlovačke županije. Također, ovim Izmjenama i dopunama osiguravaju se i sredstva za nadoknadu razlike cijene energenta opskrbljivačima te za provedbu drugih aktivnosti iz 6. i 7. paketa mjera Vlade Republike Hrvatske za zaštitu kućanstva i gospodarstva od rasta cijena. Osim toga, kretanja na pojedinim stavkama ukazuju na daljnje napore za rast kvalitete socijalne skrbi i pružanje potpore najugroženijima.</w:t>
      </w:r>
    </w:p>
    <w:p w:rsidR="00AC1D21" w:rsidRDefault="00AC1D21" w:rsidP="00AC1D21">
      <w:pPr>
        <w:shd w:val="clear" w:color="auto" w:fill="FFFFFF"/>
        <w:spacing w:after="0"/>
        <w:jc w:val="both"/>
        <w:rPr>
          <w:rFonts w:cstheme="minorHAnsi"/>
          <w:lang w:val="hr-HR"/>
        </w:rPr>
      </w:pPr>
    </w:p>
    <w:p w:rsidR="00AC1D21" w:rsidRPr="00AC1D21" w:rsidRDefault="00AC1D21" w:rsidP="00AC1D21">
      <w:pPr>
        <w:shd w:val="clear" w:color="auto" w:fill="FFFFFF"/>
        <w:spacing w:after="0"/>
        <w:jc w:val="both"/>
        <w:rPr>
          <w:rFonts w:cstheme="minorHAnsi"/>
          <w:lang w:val="hr-HR"/>
        </w:rPr>
      </w:pPr>
      <w:r w:rsidRPr="00AC1D21">
        <w:rPr>
          <w:rFonts w:cstheme="minorHAnsi"/>
          <w:lang w:val="hr-HR"/>
        </w:rPr>
        <w:t>Unutar rashoda financiranih iz općih prihoda i primitaka, doprinosa i namjenskih primitaka najznačajnija povećanja rashoda vezana su za:</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nadoknadu razlike cijene energenta opskrbljivačima te za provedbu drugih aktivnosti iz 6. i 7. paketa mjera Vlade Republike Hrvatske za zaštitu kućanstva i gospodarstva od rasta cijena u iznosu od 603,8 milijuna eura (energenti 596,6 milijuna eura, dizelsko gorivo 5,6 milijuna eura i jednokratno novčano primanje hrvatskim braniteljima 1,6 milijuna eura),</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 xml:space="preserve">rashode za zaposlene (uključujući i rashode za zaposlene u osnovnom i srednjem školstvu) u iznosu od 574,3 milijuna eura </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bCs/>
          <w:lang w:val="hr-HR"/>
        </w:rPr>
        <w:t xml:space="preserve">izdvajanja vezana uz sanaciju štete od potresa u ukupnom iznosu od 177,7 milijuna eura </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socijalne pomoći i naknade u iznosu od 154,0 milijuna eura (inkluzivni dodatak, zajamčena minimalna naknada, status roditelja njegovatelja i naknada za smještaj u udomiteljsku obitelj)</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doprinos Republike Hrvatske proračunu Europske unije u iznosu od 75,9 milijuna eura</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nabavu vojne opreme u iznosu od 64,5 milijuna eura</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ulaganja u željeznički sektor u iznosu od 52,7 milijuna eura,</w:t>
      </w:r>
    </w:p>
    <w:p w:rsidR="00AC1D21" w:rsidRPr="00AC1D21" w:rsidRDefault="00AC1D21" w:rsidP="00AC1D21">
      <w:pPr>
        <w:numPr>
          <w:ilvl w:val="0"/>
          <w:numId w:val="6"/>
        </w:numPr>
        <w:shd w:val="clear" w:color="auto" w:fill="FFFFFF"/>
        <w:tabs>
          <w:tab w:val="num" w:pos="1440"/>
        </w:tabs>
        <w:spacing w:after="0"/>
        <w:jc w:val="both"/>
        <w:rPr>
          <w:rFonts w:cstheme="minorHAnsi"/>
          <w:lang w:val="hr-HR"/>
        </w:rPr>
      </w:pPr>
      <w:r w:rsidRPr="00AC1D21">
        <w:rPr>
          <w:rFonts w:cstheme="minorHAnsi"/>
          <w:lang w:val="hr-HR"/>
        </w:rPr>
        <w:t xml:space="preserve">dodatni rodiljni dopust u iznosu od 25,0 milijuna eura, </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provedbu Programa potpore poljoprivrednim proizvođačima za ublažavanje posljedica prirodnih nepogoda nastalih u 2024. godini u iznosu od 15,0 milijuna eura,</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fiskalnu održivost dječjih vrtića u iznosu od 13,3 milijuna eura,</w:t>
      </w:r>
    </w:p>
    <w:p w:rsidR="00AC1D21" w:rsidRPr="00AC1D21" w:rsidRDefault="00AC1D21" w:rsidP="00AC1D21">
      <w:pPr>
        <w:numPr>
          <w:ilvl w:val="0"/>
          <w:numId w:val="6"/>
        </w:numPr>
        <w:shd w:val="clear" w:color="auto" w:fill="FFFFFF"/>
        <w:spacing w:after="0"/>
        <w:jc w:val="both"/>
        <w:rPr>
          <w:rFonts w:cstheme="minorHAnsi"/>
          <w:lang w:val="hr-HR"/>
        </w:rPr>
      </w:pPr>
      <w:r w:rsidRPr="00AC1D21">
        <w:rPr>
          <w:rFonts w:cstheme="minorHAnsi"/>
          <w:lang w:val="hr-HR"/>
        </w:rPr>
        <w:t>potporu županijskim upravama za ceste za održavanje, rekonstrukciju i građenje županijskih i lokalnih cesta u iznosu od 10,7 milijuna eura</w:t>
      </w:r>
    </w:p>
    <w:p w:rsidR="00AC1D21" w:rsidRDefault="00AC1D21" w:rsidP="00AC1D21">
      <w:pPr>
        <w:shd w:val="clear" w:color="auto" w:fill="FFFFFF"/>
        <w:spacing w:after="0"/>
        <w:jc w:val="both"/>
        <w:rPr>
          <w:rFonts w:cstheme="minorHAnsi"/>
          <w:lang w:val="hr-HR"/>
        </w:rPr>
      </w:pPr>
    </w:p>
    <w:p w:rsidR="00AC1D21" w:rsidRPr="00AC1D21" w:rsidRDefault="00AC1D21" w:rsidP="00AC1D21">
      <w:pPr>
        <w:shd w:val="clear" w:color="auto" w:fill="FFFFFF"/>
        <w:spacing w:after="0"/>
        <w:jc w:val="both"/>
        <w:rPr>
          <w:rFonts w:cstheme="minorHAnsi"/>
          <w:lang w:val="hr-HR"/>
        </w:rPr>
      </w:pPr>
      <w:r w:rsidRPr="00AC1D21">
        <w:rPr>
          <w:rFonts w:cstheme="minorHAnsi"/>
          <w:lang w:val="hr-HR"/>
        </w:rPr>
        <w:t xml:space="preserve">Istovremeno smanjeni su rashodi za mirovine i mirovinska primanja u iznosu od 136,4 milijuna eura </w:t>
      </w:r>
      <w:r w:rsidR="00D812BD">
        <w:rPr>
          <w:rFonts w:cstheme="minorHAnsi"/>
          <w:lang w:val="hr-HR"/>
        </w:rPr>
        <w:t>uslijed n</w:t>
      </w:r>
      <w:r w:rsidRPr="00AC1D21">
        <w:rPr>
          <w:rFonts w:cstheme="minorHAnsi"/>
          <w:lang w:val="hr-HR"/>
        </w:rPr>
        <w:t xml:space="preserve">iže stope redovnog usklađivanja mirovine (indeksacija) od ranijih procjena. U trenutku izrade državnog proračuna nisu bili poznati svi čimbenici koji u najvećem dijelu utječu na ukupne rashode za mirovine, a odnose se na stope usklađivanja mirovina, te ukupne učinke Izmjena i dopuna Zakona o mirovinskom osiguranju. </w:t>
      </w:r>
      <w:r w:rsidRPr="00AC1D21">
        <w:rPr>
          <w:rFonts w:cstheme="minorHAnsi"/>
          <w:bCs/>
          <w:lang w:val="hr-HR"/>
        </w:rPr>
        <w:t xml:space="preserve">Također, smanjeni su i financijski rashodi za 70,9 milijuna eura najvećim dijelom radi povoljnijih uvjeta za zaduženje i refinanciranje obveza države. Uštede u iznosu od 108,0 </w:t>
      </w:r>
      <w:r w:rsidRPr="00AC1D21">
        <w:rPr>
          <w:rFonts w:cstheme="minorHAnsi"/>
          <w:bCs/>
          <w:lang w:val="hr-HR"/>
        </w:rPr>
        <w:lastRenderedPageBreak/>
        <w:t>milijuna eura</w:t>
      </w:r>
      <w:r w:rsidRPr="00AC1D21">
        <w:rPr>
          <w:rFonts w:cstheme="minorHAnsi"/>
          <w:lang w:val="hr-HR"/>
        </w:rPr>
        <w:t xml:space="preserve"> </w:t>
      </w:r>
      <w:r w:rsidRPr="00AC1D21">
        <w:rPr>
          <w:rFonts w:cstheme="minorHAnsi"/>
          <w:bCs/>
          <w:lang w:val="hr-HR"/>
        </w:rPr>
        <w:t xml:space="preserve">ostvarene su i na provedbi kapitalnih projekata </w:t>
      </w:r>
      <w:r w:rsidRPr="00AC1D21">
        <w:rPr>
          <w:rFonts w:cstheme="minorHAnsi"/>
          <w:lang w:val="hr-HR"/>
        </w:rPr>
        <w:t>radi usklađenja s dinamikom provedbe istih kod krajnjih korisnika.</w:t>
      </w:r>
    </w:p>
    <w:p w:rsidR="00AC1D21" w:rsidRPr="00AC1D21" w:rsidRDefault="00AC1D21" w:rsidP="00AC1D21">
      <w:pPr>
        <w:shd w:val="clear" w:color="auto" w:fill="FFFFFF"/>
        <w:spacing w:after="0"/>
        <w:jc w:val="both"/>
        <w:rPr>
          <w:rFonts w:cstheme="minorHAnsi"/>
          <w:b/>
          <w:i/>
          <w:lang w:val="hr-HR"/>
        </w:rPr>
      </w:pPr>
    </w:p>
    <w:p w:rsidR="00AC1D21" w:rsidRPr="00AC1D21" w:rsidRDefault="00AC1D21" w:rsidP="00AC1D21">
      <w:pPr>
        <w:shd w:val="clear" w:color="auto" w:fill="FFFFFF"/>
        <w:spacing w:after="0"/>
        <w:jc w:val="both"/>
        <w:rPr>
          <w:rFonts w:cstheme="minorHAnsi"/>
          <w:lang w:val="hr-HR"/>
        </w:rPr>
      </w:pPr>
      <w:r w:rsidRPr="00AC1D21">
        <w:rPr>
          <w:rFonts w:cstheme="minorHAnsi"/>
          <w:lang w:val="hr-HR"/>
        </w:rPr>
        <w:t>Rashodi koji se financiraju iz EU i ostalih izvora ovim se Izmjenama i dopunama smanjuju za 139,6 milijuna eura. U okviru ovih rashoda, rashodi koji se financiraju iz EU izvora smanjuju se za 583,4 milijuna eura zbog usklađenja s dinamikom provedbe projekata krajnjih korisnika dok se rashodi koji se financiraju iz ostalih izvora povećavaju za 443,8 milijuna eura</w:t>
      </w:r>
      <w:r>
        <w:rPr>
          <w:rFonts w:cstheme="minorHAnsi"/>
          <w:lang w:val="hr-HR"/>
        </w:rPr>
        <w:t>,</w:t>
      </w:r>
      <w:r w:rsidRPr="00AC1D21">
        <w:rPr>
          <w:rFonts w:cstheme="minorHAnsi"/>
          <w:lang w:val="hr-HR"/>
        </w:rPr>
        <w:t xml:space="preserve"> najvećim dijelom kao rezultat osiguranja dodatnih sredstava za rast koeficijenata složenosti poslova u javnim službama za obračun plaća u sektoru zdravstva te dodatnih sredstava za ustanove u zdravstvu financirane iz prihoda temeljem ugovornog odnosa sa Hrvatskim zavodom za zdravstveno osiguranje</w:t>
      </w:r>
      <w:r>
        <w:rPr>
          <w:rFonts w:cstheme="minorHAnsi"/>
          <w:lang w:val="hr-HR"/>
        </w:rPr>
        <w:t>.</w:t>
      </w:r>
    </w:p>
    <w:p w:rsidR="00AC1D21" w:rsidRDefault="00AC1D21" w:rsidP="00AC1D21">
      <w:pPr>
        <w:shd w:val="clear" w:color="auto" w:fill="FFFFFF"/>
        <w:spacing w:after="0"/>
        <w:jc w:val="both"/>
        <w:rPr>
          <w:rFonts w:cstheme="minorHAnsi"/>
          <w:lang w:val="hr-HR"/>
        </w:rPr>
      </w:pPr>
    </w:p>
    <w:p w:rsidR="0054100C" w:rsidRPr="00AC1D21" w:rsidRDefault="00F03484" w:rsidP="0054100C">
      <w:pPr>
        <w:pStyle w:val="Caption"/>
        <w:rPr>
          <w:rFonts w:asciiTheme="minorHAnsi" w:hAnsiTheme="minorHAnsi" w:cstheme="minorHAnsi"/>
          <w:b w:val="0"/>
          <w:i/>
          <w:sz w:val="22"/>
          <w:szCs w:val="22"/>
        </w:rPr>
      </w:pPr>
      <w:r w:rsidRPr="00AC1D21">
        <w:rPr>
          <w:rFonts w:asciiTheme="minorHAnsi" w:hAnsiTheme="minorHAnsi" w:cstheme="minorHAnsi"/>
          <w:b w:val="0"/>
          <w:i/>
          <w:sz w:val="22"/>
          <w:szCs w:val="22"/>
        </w:rPr>
        <w:t>Tablica 3</w:t>
      </w:r>
      <w:r w:rsidR="0054100C" w:rsidRPr="00AC1D21">
        <w:rPr>
          <w:rFonts w:asciiTheme="minorHAnsi" w:hAnsiTheme="minorHAnsi" w:cstheme="minorHAnsi"/>
          <w:b w:val="0"/>
          <w:i/>
          <w:sz w:val="22"/>
          <w:szCs w:val="22"/>
        </w:rPr>
        <w:t>. Ukupni rashodi državnog proračuna po ekonomskoj klasifikaciji</w:t>
      </w:r>
    </w:p>
    <w:p w:rsidR="003459A2" w:rsidRPr="00AC1D21" w:rsidRDefault="00791EF6" w:rsidP="00AC1D21">
      <w:pPr>
        <w:spacing w:after="0"/>
        <w:rPr>
          <w:highlight w:val="yellow"/>
          <w:lang w:val="hr-HR"/>
        </w:rPr>
      </w:pPr>
      <w:r w:rsidRPr="00753D78">
        <w:rPr>
          <w:noProof/>
          <w:lang w:val="hr-HR" w:eastAsia="hr-HR"/>
        </w:rPr>
        <w:drawing>
          <wp:inline distT="0" distB="0" distL="0" distR="0" wp14:anchorId="75B275B1" wp14:editId="5A59F6F1">
            <wp:extent cx="5759450" cy="2390271"/>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390271"/>
                    </a:xfrm>
                    <a:prstGeom prst="rect">
                      <a:avLst/>
                    </a:prstGeom>
                    <a:noFill/>
                    <a:ln>
                      <a:noFill/>
                    </a:ln>
                  </pic:spPr>
                </pic:pic>
              </a:graphicData>
            </a:graphic>
          </wp:inline>
        </w:drawing>
      </w:r>
    </w:p>
    <w:p w:rsidR="0054100C" w:rsidRPr="00AC1D21" w:rsidRDefault="0054100C" w:rsidP="0054100C">
      <w:pPr>
        <w:rPr>
          <w:rFonts w:cstheme="minorHAnsi"/>
          <w:i/>
          <w:lang w:val="hr-HR"/>
        </w:rPr>
      </w:pPr>
      <w:r w:rsidRPr="00AC1D21">
        <w:rPr>
          <w:rFonts w:cstheme="minorHAnsi"/>
          <w:i/>
          <w:lang w:val="hr-HR"/>
        </w:rPr>
        <w:t>Izvor: Ministarstvo financija</w:t>
      </w:r>
    </w:p>
    <w:p w:rsidR="00527CC0" w:rsidRPr="00AC1D21" w:rsidRDefault="00527CC0" w:rsidP="0054100C">
      <w:pPr>
        <w:rPr>
          <w:rFonts w:cstheme="minorHAnsi"/>
          <w:noProof/>
          <w:highlight w:val="yellow"/>
          <w:lang w:val="hr-HR" w:eastAsia="hr-HR"/>
        </w:rPr>
      </w:pPr>
    </w:p>
    <w:p w:rsidR="005874C7" w:rsidRPr="00AC1D21" w:rsidRDefault="005874C7" w:rsidP="005874C7">
      <w:pPr>
        <w:pStyle w:val="Heading2"/>
        <w:numPr>
          <w:ilvl w:val="1"/>
          <w:numId w:val="3"/>
        </w:numPr>
        <w:spacing w:after="240"/>
        <w:ind w:left="993" w:hanging="567"/>
        <w:rPr>
          <w:rFonts w:asciiTheme="minorHAnsi" w:hAnsiTheme="minorHAnsi" w:cstheme="minorHAnsi"/>
          <w:sz w:val="22"/>
          <w:szCs w:val="22"/>
          <w:lang w:val="hr-HR"/>
        </w:rPr>
      </w:pPr>
      <w:bookmarkStart w:id="12" w:name="_Toc178762834"/>
      <w:r w:rsidRPr="00AC1D21">
        <w:rPr>
          <w:rFonts w:asciiTheme="minorHAnsi" w:hAnsiTheme="minorHAnsi" w:cstheme="minorHAnsi"/>
          <w:sz w:val="22"/>
          <w:szCs w:val="22"/>
          <w:lang w:val="hr-HR"/>
        </w:rPr>
        <w:t>Obrazloženje rashoda po ekonomskoj klasifikaciji</w:t>
      </w:r>
      <w:bookmarkEnd w:id="12"/>
    </w:p>
    <w:p w:rsidR="0054100C" w:rsidRPr="00AC1D21" w:rsidRDefault="0054100C" w:rsidP="0054100C">
      <w:pPr>
        <w:pStyle w:val="ListParagraph"/>
        <w:spacing w:after="0" w:line="240" w:lineRule="auto"/>
        <w:ind w:left="360"/>
        <w:jc w:val="both"/>
        <w:rPr>
          <w:rFonts w:cstheme="minorHAnsi"/>
          <w:b/>
          <w:lang w:val="hr-HR"/>
        </w:rPr>
      </w:pPr>
    </w:p>
    <w:p w:rsidR="00135C45" w:rsidRPr="00AC1D21" w:rsidRDefault="00135C45" w:rsidP="00135C45">
      <w:pPr>
        <w:spacing w:after="0"/>
        <w:jc w:val="both"/>
        <w:rPr>
          <w:rFonts w:cstheme="minorHAnsi"/>
          <w:b/>
          <w:lang w:val="hr-HR"/>
        </w:rPr>
      </w:pPr>
      <w:r w:rsidRPr="00AC1D21">
        <w:rPr>
          <w:rFonts w:cstheme="minorHAnsi"/>
          <w:b/>
          <w:lang w:val="hr-HR"/>
        </w:rPr>
        <w:t>Rashodi poslovanja</w:t>
      </w:r>
    </w:p>
    <w:p w:rsidR="00135C45" w:rsidRPr="00AC1D21" w:rsidRDefault="00AC1D21" w:rsidP="00135C45">
      <w:pPr>
        <w:spacing w:after="0"/>
        <w:jc w:val="both"/>
        <w:rPr>
          <w:rFonts w:cstheme="minorHAnsi"/>
          <w:highlight w:val="yellow"/>
          <w:lang w:val="hr-HR"/>
        </w:rPr>
      </w:pPr>
      <w:r w:rsidRPr="00AC1D21">
        <w:rPr>
          <w:rFonts w:cstheme="minorHAnsi"/>
          <w:lang w:val="hr-HR"/>
        </w:rPr>
        <w:t>Ukupni rashodi poslovanja povećavaju se za 1,2 milijarde eura i iznose 31,7 milijardi eura pri čemu se ovo povećanje gotovo u cijelosti odnosi na rashode financirane iz općih prihoda i primitaka, doprinosa i namjenskih primitaka.</w:t>
      </w:r>
    </w:p>
    <w:p w:rsidR="00135C45" w:rsidRPr="00AC1D21" w:rsidRDefault="00135C45" w:rsidP="00135C45">
      <w:pPr>
        <w:spacing w:after="0"/>
        <w:jc w:val="both"/>
        <w:rPr>
          <w:rFonts w:cstheme="minorHAnsi"/>
          <w:highlight w:val="yellow"/>
          <w:lang w:val="hr-HR"/>
        </w:rPr>
      </w:pPr>
    </w:p>
    <w:p w:rsidR="00135C45" w:rsidRPr="00AC1D21" w:rsidRDefault="00135C45" w:rsidP="00135C45">
      <w:pPr>
        <w:spacing w:after="0"/>
        <w:jc w:val="both"/>
        <w:rPr>
          <w:rFonts w:cstheme="minorHAnsi"/>
          <w:b/>
          <w:i/>
          <w:lang w:val="hr-HR"/>
        </w:rPr>
      </w:pPr>
      <w:r w:rsidRPr="00AC1D21">
        <w:rPr>
          <w:rFonts w:cstheme="minorHAnsi"/>
          <w:b/>
          <w:i/>
          <w:lang w:val="hr-HR"/>
        </w:rPr>
        <w:t>Rashodi za zaposlene</w:t>
      </w:r>
    </w:p>
    <w:p w:rsidR="00AC1D21" w:rsidRPr="00AC1D21" w:rsidRDefault="00AC1D21" w:rsidP="00AC1D21">
      <w:pPr>
        <w:spacing w:after="0"/>
        <w:jc w:val="both"/>
        <w:rPr>
          <w:rFonts w:cstheme="minorHAnsi"/>
          <w:lang w:val="hr-HR"/>
        </w:rPr>
      </w:pPr>
      <w:r w:rsidRPr="00AC1D21">
        <w:rPr>
          <w:rFonts w:cstheme="minorHAnsi"/>
          <w:lang w:val="hr-HR"/>
        </w:rPr>
        <w:t xml:space="preserve">Ukupni rashodi za zaposlene ovim su Izmjenama i dopunama planirani na razini od 5,7 milijardi eura što je povećanje za 505,7 milijuna eura u odnosu na tekući plan. Od navedenog povećanja ovi rashodi financirani iz općih prihoda i primitaka, doprinosa i namjenskih primitaka povećavaju se za 357,4 milijuna eura u odnosu na tekući plan 2024. godine i iznose ukupno 3,7 milijardi eura. Rashodi za zaposlene financirani iz EU sredstava i ostalih izvora planiraju se na razini od 2,0 milijarde eura i bilježe rast od 148,4 milijuna eura u odnosu na tekući plan 2024. godine. </w:t>
      </w:r>
    </w:p>
    <w:p w:rsidR="00AC1D21" w:rsidRPr="00AC1D21" w:rsidRDefault="00AC1D21" w:rsidP="00AC1D21">
      <w:pPr>
        <w:spacing w:after="0"/>
        <w:jc w:val="both"/>
        <w:rPr>
          <w:rFonts w:cstheme="minorHAnsi"/>
          <w:lang w:val="hr-HR"/>
        </w:rPr>
      </w:pPr>
    </w:p>
    <w:p w:rsidR="00AC1D21" w:rsidRPr="00AC1D21" w:rsidRDefault="00AC1D21" w:rsidP="00AC1D21">
      <w:pPr>
        <w:spacing w:after="0"/>
        <w:jc w:val="both"/>
        <w:rPr>
          <w:rFonts w:cstheme="minorHAnsi"/>
          <w:lang w:val="hr-HR"/>
        </w:rPr>
      </w:pPr>
      <w:r w:rsidRPr="00AC1D21">
        <w:rPr>
          <w:rFonts w:cstheme="minorHAnsi"/>
          <w:lang w:val="hr-HR"/>
        </w:rPr>
        <w:t xml:space="preserve">Važno je istaknuti da ova skupina rashoda ne uključuje rashode za zaposlene u osnovnom i srednjem školstvu koji su iskazani u okviru pomoći danih u inozemstvo i unutar općeg proračuna. </w:t>
      </w:r>
    </w:p>
    <w:p w:rsidR="00AC1D21" w:rsidRDefault="00AC1D21" w:rsidP="00AC1D21">
      <w:pPr>
        <w:spacing w:after="0"/>
        <w:jc w:val="both"/>
        <w:rPr>
          <w:rFonts w:cstheme="minorHAnsi"/>
          <w:highlight w:val="yellow"/>
          <w:lang w:val="hr-HR"/>
        </w:rPr>
      </w:pPr>
      <w:r w:rsidRPr="00AC1D21">
        <w:rPr>
          <w:rFonts w:cstheme="minorHAnsi"/>
          <w:lang w:val="hr-HR"/>
        </w:rPr>
        <w:lastRenderedPageBreak/>
        <w:t>Navedeno povećanje rashoda za zaposlene prvenstveno je rezultat osiguranja sredstava za provedbu cjelovite reforme sustava plaća koja je započela u 2023. godini ugovaranjem privremenih dodataka na plaću, a nastavljena je u 2024. godini stupanjem na snagu Zakona o plaćama u državnoj službi i javnim službama („Narodne novine“, broj 155/23.). Primarni cilj reforme sustava plaća bio je optimizirati  i unaprijediti  sustav kako bi se povećala efikasnost,  uravnotežio sustav plaća prema modelu jednaka plaća za jednak rad te uvelo objektivnije vrednovanje radnih mjesta ukidanjem više od 560 dodataka na plaću i uvođenjem novog sustava koeficijenata.</w:t>
      </w:r>
    </w:p>
    <w:p w:rsidR="00AC1D21" w:rsidRDefault="00AC1D21" w:rsidP="00135C45">
      <w:pPr>
        <w:spacing w:after="0"/>
        <w:jc w:val="both"/>
        <w:rPr>
          <w:rFonts w:cstheme="minorHAnsi"/>
          <w:highlight w:val="yellow"/>
          <w:lang w:val="hr-HR"/>
        </w:rPr>
      </w:pPr>
    </w:p>
    <w:p w:rsidR="00AC1D21" w:rsidRPr="00AC1D21" w:rsidRDefault="00AC1D21" w:rsidP="00AC1D21">
      <w:pPr>
        <w:spacing w:after="0"/>
        <w:jc w:val="both"/>
        <w:rPr>
          <w:rFonts w:cstheme="minorHAnsi"/>
          <w:lang w:val="hr-HR"/>
        </w:rPr>
      </w:pPr>
      <w:r w:rsidRPr="00AC1D21">
        <w:rPr>
          <w:rFonts w:cstheme="minorHAnsi"/>
          <w:lang w:val="hr-HR"/>
        </w:rPr>
        <w:t>Zakonom o plaćama u državnoj službi i javnim službama bilo je propisano da će se utvrditi novi koeficijenti složenosti poslova radnih mjesta državnih i javnih službenika te namještenika. Novi koeficijenti složenosti poslova utvrđeni su u na sjednici održanoj 22. veljače 2024. godine kada je Vlada, između ostalog, donijela:</w:t>
      </w:r>
    </w:p>
    <w:p w:rsidR="00AC1D21" w:rsidRPr="00AC1D21" w:rsidRDefault="00AC1D21" w:rsidP="00AC1D21">
      <w:pPr>
        <w:numPr>
          <w:ilvl w:val="0"/>
          <w:numId w:val="20"/>
        </w:numPr>
        <w:spacing w:after="0"/>
        <w:jc w:val="both"/>
        <w:rPr>
          <w:rFonts w:cstheme="minorHAnsi"/>
          <w:lang w:val="hr-HR"/>
        </w:rPr>
      </w:pPr>
      <w:r w:rsidRPr="00AC1D21">
        <w:rPr>
          <w:rFonts w:cstheme="minorHAnsi"/>
          <w:lang w:val="hr-HR"/>
        </w:rPr>
        <w:t>Uredbu o nazivima radnih mjesta, uvjetima za raspored i koeficijentima za obračun plaće u državnoj službi,</w:t>
      </w:r>
    </w:p>
    <w:p w:rsidR="00AC1D21" w:rsidRPr="00AC1D21" w:rsidRDefault="00AC1D21" w:rsidP="00AC1D21">
      <w:pPr>
        <w:numPr>
          <w:ilvl w:val="0"/>
          <w:numId w:val="20"/>
        </w:numPr>
        <w:spacing w:after="0"/>
        <w:jc w:val="both"/>
        <w:rPr>
          <w:rFonts w:cstheme="minorHAnsi"/>
          <w:lang w:val="hr-HR"/>
        </w:rPr>
      </w:pPr>
      <w:r w:rsidRPr="00AC1D21">
        <w:rPr>
          <w:rFonts w:cstheme="minorHAnsi"/>
          <w:lang w:val="hr-HR"/>
        </w:rPr>
        <w:t>Uredbu o nazivima radnih mjesta, uvjetima za raspored i koeficijentima za obračun plaće u javnim službama,</w:t>
      </w:r>
    </w:p>
    <w:p w:rsidR="00AC1D21" w:rsidRPr="00AC1D21" w:rsidRDefault="00AC1D21" w:rsidP="00AC1D21">
      <w:pPr>
        <w:numPr>
          <w:ilvl w:val="0"/>
          <w:numId w:val="20"/>
        </w:numPr>
        <w:spacing w:after="0"/>
        <w:jc w:val="both"/>
        <w:rPr>
          <w:rFonts w:cstheme="minorHAnsi"/>
          <w:lang w:val="hr-HR"/>
        </w:rPr>
      </w:pPr>
      <w:r w:rsidRPr="00AC1D21">
        <w:rPr>
          <w:rFonts w:cstheme="minorHAnsi"/>
          <w:lang w:val="hr-HR"/>
        </w:rPr>
        <w:t>Uredbu o dodacima za zvanja službenika pravosudne policije,</w:t>
      </w:r>
    </w:p>
    <w:p w:rsidR="00AC1D21" w:rsidRPr="00AC1D21" w:rsidRDefault="00AC1D21" w:rsidP="00AC1D21">
      <w:pPr>
        <w:numPr>
          <w:ilvl w:val="0"/>
          <w:numId w:val="20"/>
        </w:numPr>
        <w:spacing w:after="0"/>
        <w:jc w:val="both"/>
        <w:rPr>
          <w:rFonts w:cstheme="minorHAnsi"/>
          <w:lang w:val="hr-HR"/>
        </w:rPr>
      </w:pPr>
      <w:r w:rsidRPr="00AC1D21">
        <w:rPr>
          <w:rFonts w:cstheme="minorHAnsi"/>
          <w:lang w:val="hr-HR"/>
        </w:rPr>
        <w:t>Uredbu o visini dodatka za zvanja policijskih službenika i</w:t>
      </w:r>
    </w:p>
    <w:p w:rsidR="00AC1D21" w:rsidRPr="00AC1D21" w:rsidRDefault="00AC1D21" w:rsidP="00AC1D21">
      <w:pPr>
        <w:numPr>
          <w:ilvl w:val="0"/>
          <w:numId w:val="20"/>
        </w:numPr>
        <w:spacing w:after="0"/>
        <w:jc w:val="both"/>
        <w:rPr>
          <w:rFonts w:cstheme="minorHAnsi"/>
          <w:lang w:val="hr-HR"/>
        </w:rPr>
      </w:pPr>
      <w:r w:rsidRPr="00AC1D21">
        <w:rPr>
          <w:rFonts w:cstheme="minorHAnsi"/>
          <w:lang w:val="hr-HR"/>
        </w:rPr>
        <w:t>Uredbu o vrijednosti koeficijenta osobnog čina za izračun plaće djelatne vojne osobe.</w:t>
      </w:r>
    </w:p>
    <w:p w:rsidR="00AC1D21" w:rsidRPr="00AC1D21" w:rsidRDefault="00AC1D21" w:rsidP="00AC1D21">
      <w:pPr>
        <w:spacing w:after="0"/>
        <w:jc w:val="both"/>
        <w:rPr>
          <w:rFonts w:cstheme="minorHAnsi"/>
          <w:lang w:val="hr-HR"/>
        </w:rPr>
      </w:pPr>
      <w:r w:rsidRPr="00AC1D21">
        <w:rPr>
          <w:rFonts w:cstheme="minorHAnsi"/>
          <w:lang w:val="hr-HR"/>
        </w:rPr>
        <w:t xml:space="preserve">Privremeni dodaci koji su bili ugovoreni u 2023. godini radi sveobuhvatnog rješavanja niskih plaća državnih službenika i namještenika te službenika i namještenika u javnim službama te ublažavanja posljedica rasta troškova života službenicima i namještenicima s najnižim primanjima bili su prijelazno rješenje te su donošenjem uredbi isti implementirani u nove koeficijente. Implementacijom novog sustava plaća zaposlenicima u državnoj službi koeficijenti za obračun plaća prosječno su povećani za 37% u odnosu na ožujak 2023. (prije uvođenja privremenih dodataka), a za 14% u odnosu na prosinac 2023. godine. Najveće povećanje plaća u državnoj službi od 47% ostvareno je za radna mjesta sa srednjom stručnom spremom. Uredbe su stupile na snagu 1. ožujka 2024., a prvi fiskalni učinci istih bili su vidljivi u isplati plaće za mjesec ožujak 2024. godine koja je isplaćena u mjesecu travnju 2024. godine. </w:t>
      </w:r>
    </w:p>
    <w:p w:rsidR="00AC1D21" w:rsidRPr="00AC1D21" w:rsidRDefault="00AC1D21" w:rsidP="00AC1D21">
      <w:pPr>
        <w:spacing w:after="0"/>
        <w:jc w:val="both"/>
        <w:rPr>
          <w:rFonts w:cstheme="minorHAnsi"/>
          <w:lang w:val="hr-HR"/>
        </w:rPr>
      </w:pPr>
    </w:p>
    <w:p w:rsidR="00AC1D21" w:rsidRPr="00AC1D21" w:rsidRDefault="00AC1D21" w:rsidP="00AC1D21">
      <w:pPr>
        <w:spacing w:after="0"/>
        <w:jc w:val="both"/>
        <w:rPr>
          <w:rFonts w:cstheme="minorHAnsi"/>
          <w:lang w:val="hr-HR"/>
        </w:rPr>
      </w:pPr>
      <w:r w:rsidRPr="00AC1D21">
        <w:rPr>
          <w:rFonts w:cstheme="minorHAnsi"/>
          <w:lang w:val="hr-HR"/>
        </w:rPr>
        <w:t xml:space="preserve">Nadalje, kako bi se dodatno poboljšao materijalni položaj pravosudnih dužnosnika usvojen je i Zakon o izmjenama Zakona o plaći i drugim materijalnim pravima pravosudnih dužnosnika (Narodne novine, br. 35/24) kojim je, između ostalog, osnovica za izračun plaće pravosudnih dužnosnika povećana za dodatnih 11,5%. Zakon je stupio na snagu 1. travnja 2024., a prvi fiskalni učinci istog bili su vidljivi u isplati plaće za mjesec travanj 2024. godine koja je isplaćena u mjesecu svibnju 2024. godine. </w:t>
      </w:r>
    </w:p>
    <w:p w:rsidR="00AC1D21" w:rsidRPr="00AC1D21" w:rsidRDefault="00AC1D21" w:rsidP="00AC1D21">
      <w:pPr>
        <w:spacing w:after="0"/>
        <w:jc w:val="both"/>
        <w:rPr>
          <w:rFonts w:cstheme="minorHAnsi"/>
          <w:lang w:val="hr-HR"/>
        </w:rPr>
      </w:pPr>
    </w:p>
    <w:p w:rsidR="00AC1D21" w:rsidRPr="00AC1D21" w:rsidRDefault="00AC1D21" w:rsidP="00AC1D21">
      <w:pPr>
        <w:spacing w:after="0"/>
        <w:jc w:val="both"/>
        <w:rPr>
          <w:rFonts w:cstheme="minorHAnsi"/>
          <w:lang w:val="hr-HR"/>
        </w:rPr>
      </w:pPr>
      <w:r w:rsidRPr="00AC1D21">
        <w:rPr>
          <w:rFonts w:cstheme="minorHAnsi"/>
          <w:lang w:val="hr-HR"/>
        </w:rPr>
        <w:t>Vlada je 25. srpnja 2024. donijela Odluku o visini osnovice za obračun plaće državnih dužnosnika kojom je ista povećana sa 516,29 eura bruto na 947,18 eura bruto, što odgovara važećoj osnovici za obračun plaće držav</w:t>
      </w:r>
      <w:r>
        <w:rPr>
          <w:rFonts w:cstheme="minorHAnsi"/>
          <w:lang w:val="hr-HR"/>
        </w:rPr>
        <w:t xml:space="preserve">nih službenika i namještenika. </w:t>
      </w:r>
      <w:r w:rsidRPr="00AC1D21">
        <w:rPr>
          <w:rFonts w:cstheme="minorHAnsi"/>
          <w:lang w:val="hr-HR"/>
        </w:rPr>
        <w:t>Naime, osnovica za obračun plaće državnih dužnosnika nije se mijenjala od 2014. te nije pratila povećanje osnovice za obračun plaće državnih službenika i namještenika, čime su znatno bili narušeni odnosi u plaćama između državnih dužnosnika, s jedne strane, i državnih službenika i namještenika, s druge strane. Pored toga, došlo je do dodatnog nesrazmjera u plaćama nakon povećanja koeficijenata za obračun plaće državnih službenika i namještenika prethodno navedenim Uredbama te su plaće pojedinih državnih službenika bile znatno veće od plaća nadređenih državnih dužnosnika. Primjena uvećane osnovice započela je s plaćom za mjesec srpanj 2024., koja je isplaćena u mjesecu kolovozu 2024.</w:t>
      </w:r>
    </w:p>
    <w:p w:rsidR="00135C45" w:rsidRPr="00AC1D21" w:rsidRDefault="00135C45" w:rsidP="00135C45">
      <w:pPr>
        <w:spacing w:after="0"/>
        <w:jc w:val="both"/>
        <w:rPr>
          <w:rFonts w:cstheme="minorHAnsi"/>
          <w:b/>
          <w:i/>
          <w:lang w:val="hr-HR"/>
        </w:rPr>
      </w:pPr>
      <w:r w:rsidRPr="00AC1D21">
        <w:rPr>
          <w:rFonts w:cstheme="minorHAnsi"/>
          <w:b/>
          <w:i/>
          <w:lang w:val="hr-HR"/>
        </w:rPr>
        <w:lastRenderedPageBreak/>
        <w:t>Materijalni rashodi</w:t>
      </w:r>
    </w:p>
    <w:p w:rsidR="00AC1D21" w:rsidRPr="00AC1D21" w:rsidRDefault="00AC1D21" w:rsidP="00AC1D21">
      <w:pPr>
        <w:spacing w:after="0"/>
        <w:jc w:val="both"/>
        <w:rPr>
          <w:rFonts w:cstheme="minorHAnsi"/>
          <w:lang w:val="hr-HR"/>
        </w:rPr>
      </w:pPr>
      <w:r w:rsidRPr="00AC1D21">
        <w:rPr>
          <w:rFonts w:cstheme="minorHAnsi"/>
          <w:lang w:val="hr-HR"/>
        </w:rPr>
        <w:t xml:space="preserve">Ukupni materijalni rashodi povećavaju se za 132,9 milijuna eura. Od navedenog povećanja rashodi financirani iz općih prihoda i primitaka, doprinosa i namjenskih primitaka povećavaju se za 25,6 milijuna eura i to najvećim dijelom za obnovu infrastrukture i opreme u području obrazovanja oštećene potresom te zdravstvenu zaštitu životinja uslijed podizanja cijena veterinarskih usluga za minimalnih 25% za provedene poslove kontrole i suzbijanja bolesti. </w:t>
      </w:r>
    </w:p>
    <w:p w:rsidR="00AC1D21" w:rsidRPr="00AC1D21" w:rsidRDefault="00AC1D21" w:rsidP="00AC1D21">
      <w:pPr>
        <w:spacing w:after="0"/>
        <w:jc w:val="both"/>
        <w:rPr>
          <w:rFonts w:cstheme="minorHAnsi"/>
          <w:lang w:val="hr-HR"/>
        </w:rPr>
      </w:pPr>
    </w:p>
    <w:p w:rsidR="00135C45" w:rsidRPr="00AC1D21" w:rsidRDefault="00AC1D21" w:rsidP="00AC1D21">
      <w:pPr>
        <w:spacing w:after="0"/>
        <w:jc w:val="both"/>
        <w:rPr>
          <w:rFonts w:cstheme="minorHAnsi"/>
          <w:highlight w:val="yellow"/>
          <w:lang w:val="hr-HR"/>
        </w:rPr>
      </w:pPr>
      <w:r w:rsidRPr="00AC1D21">
        <w:rPr>
          <w:rFonts w:cstheme="minorHAnsi"/>
          <w:lang w:val="hr-HR"/>
        </w:rPr>
        <w:t>Od ukupnog povećanja</w:t>
      </w:r>
      <w:r>
        <w:rPr>
          <w:rFonts w:cstheme="minorHAnsi"/>
          <w:lang w:val="hr-HR"/>
        </w:rPr>
        <w:t xml:space="preserve"> rashodi financirani</w:t>
      </w:r>
      <w:r w:rsidRPr="00AC1D21">
        <w:rPr>
          <w:rFonts w:cstheme="minorHAnsi"/>
          <w:lang w:val="hr-HR"/>
        </w:rPr>
        <w:t xml:space="preserve"> iz EU i ostalih izvora povećavaju se u iznosu od 107,3 milijuna eura</w:t>
      </w:r>
      <w:r>
        <w:rPr>
          <w:rFonts w:cstheme="minorHAnsi"/>
          <w:lang w:val="hr-HR"/>
        </w:rPr>
        <w:t>,</w:t>
      </w:r>
      <w:r w:rsidRPr="00AC1D21">
        <w:rPr>
          <w:rFonts w:cstheme="minorHAnsi"/>
          <w:lang w:val="hr-HR"/>
        </w:rPr>
        <w:t xml:space="preserve"> prvenstveno zbog osiguranja dodatnih sredstava za ustanove u zdravstvu financirane iz prihoda temeljem ugovornog odnosa sa Hrvatskim zavodom za zdravstveno osiguranje. </w:t>
      </w:r>
      <w:r w:rsidR="00135C45" w:rsidRPr="00AC1D21">
        <w:rPr>
          <w:rFonts w:cstheme="minorHAnsi"/>
          <w:highlight w:val="yellow"/>
          <w:lang w:val="hr-HR"/>
        </w:rPr>
        <w:t xml:space="preserve"> </w:t>
      </w:r>
    </w:p>
    <w:p w:rsidR="00135C45" w:rsidRPr="00AC1D21" w:rsidRDefault="00135C45" w:rsidP="00135C45">
      <w:pPr>
        <w:spacing w:after="0"/>
        <w:jc w:val="both"/>
        <w:rPr>
          <w:rFonts w:cstheme="minorHAnsi"/>
          <w:b/>
          <w:i/>
          <w:lang w:val="hr-HR"/>
        </w:rPr>
      </w:pPr>
    </w:p>
    <w:p w:rsidR="00135C45" w:rsidRPr="00AC1D21" w:rsidRDefault="00135C45" w:rsidP="00135C45">
      <w:pPr>
        <w:spacing w:after="0"/>
        <w:jc w:val="both"/>
        <w:rPr>
          <w:rFonts w:cstheme="minorHAnsi"/>
          <w:b/>
          <w:i/>
          <w:lang w:val="hr-HR"/>
        </w:rPr>
      </w:pPr>
      <w:r w:rsidRPr="00AC1D21">
        <w:rPr>
          <w:rFonts w:cstheme="minorHAnsi"/>
          <w:b/>
          <w:i/>
          <w:lang w:val="hr-HR"/>
        </w:rPr>
        <w:t>Financijski rashodi</w:t>
      </w:r>
    </w:p>
    <w:p w:rsidR="00135C45" w:rsidRPr="00AC1D21" w:rsidRDefault="00AC1D21" w:rsidP="00135C45">
      <w:pPr>
        <w:spacing w:after="0"/>
        <w:jc w:val="both"/>
        <w:rPr>
          <w:rFonts w:cstheme="minorHAnsi"/>
          <w:b/>
          <w:i/>
          <w:highlight w:val="yellow"/>
          <w:lang w:val="hr-HR"/>
        </w:rPr>
      </w:pPr>
      <w:r w:rsidRPr="00AC1D21">
        <w:rPr>
          <w:rFonts w:cstheme="minorHAnsi"/>
          <w:lang w:val="hr-HR"/>
        </w:rPr>
        <w:t>Financijski rashodi ovim Izmjenama i dopunama planirani su na razini od 1,2 milijarde eura i u odnosu na tekući plan smanjuju se za 66,6 milijuna eura najvećim dijelom radi povoljnijih uvjeta za zaduženje i refinanciranj</w:t>
      </w:r>
      <w:r w:rsidR="002D5B5F">
        <w:rPr>
          <w:rFonts w:cstheme="minorHAnsi"/>
          <w:lang w:val="hr-HR"/>
        </w:rPr>
        <w:t>a</w:t>
      </w:r>
      <w:r w:rsidRPr="00AC1D21">
        <w:rPr>
          <w:rFonts w:cstheme="minorHAnsi"/>
          <w:lang w:val="hr-HR"/>
        </w:rPr>
        <w:t xml:space="preserve"> obveza države.</w:t>
      </w:r>
      <w:r w:rsidR="00135C45" w:rsidRPr="00AC1D21">
        <w:rPr>
          <w:rFonts w:cstheme="minorHAnsi"/>
          <w:bCs/>
          <w:highlight w:val="yellow"/>
          <w:lang w:val="hr-HR"/>
        </w:rPr>
        <w:t xml:space="preserve"> </w:t>
      </w:r>
    </w:p>
    <w:p w:rsidR="00135C45" w:rsidRPr="00AC1D21" w:rsidRDefault="00135C45" w:rsidP="00135C45">
      <w:pPr>
        <w:spacing w:after="0"/>
        <w:jc w:val="both"/>
        <w:rPr>
          <w:rFonts w:cstheme="minorHAnsi"/>
          <w:b/>
          <w:i/>
          <w:lang w:val="hr-HR"/>
        </w:rPr>
      </w:pPr>
    </w:p>
    <w:p w:rsidR="00135C45" w:rsidRPr="00AC1D21" w:rsidRDefault="00135C45" w:rsidP="00135C45">
      <w:pPr>
        <w:spacing w:after="0"/>
        <w:jc w:val="both"/>
        <w:rPr>
          <w:rFonts w:cstheme="minorHAnsi"/>
          <w:b/>
          <w:i/>
          <w:lang w:val="hr-HR"/>
        </w:rPr>
      </w:pPr>
      <w:r w:rsidRPr="00AC1D21">
        <w:rPr>
          <w:rFonts w:cstheme="minorHAnsi"/>
          <w:b/>
          <w:i/>
          <w:lang w:val="hr-HR"/>
        </w:rPr>
        <w:t>Subvencije</w:t>
      </w:r>
    </w:p>
    <w:p w:rsidR="00AC1D21" w:rsidRPr="00AC1D21" w:rsidRDefault="00AC1D21" w:rsidP="00AC1D21">
      <w:pPr>
        <w:spacing w:after="0"/>
        <w:jc w:val="both"/>
        <w:rPr>
          <w:rFonts w:cstheme="minorHAnsi"/>
          <w:lang w:val="hr-HR"/>
        </w:rPr>
      </w:pPr>
      <w:r w:rsidRPr="00AC1D21">
        <w:rPr>
          <w:rFonts w:cstheme="minorHAnsi"/>
          <w:lang w:val="hr-HR"/>
        </w:rPr>
        <w:t xml:space="preserve">Ukupni rashodi za subvencije se u odnosu na tekući plan povećavaju za 547,9 milijuna eura i iznose 2,4 milijarde eura. Navedeno povećanje rezultat je s jedne strane povećanja rashoda financiranih iz općih prihoda i primitaka, doprinosa i namjenskih primitaka u iznosu od 591,0 milijuna eura i smanjenja ove kategorije rashoda financirane iz EU sredstava i ostalih izvora za 43,1 milijun eura. </w:t>
      </w:r>
    </w:p>
    <w:p w:rsidR="00AC1D21" w:rsidRPr="00AC1D21" w:rsidRDefault="00AC1D21" w:rsidP="00AC1D21">
      <w:pPr>
        <w:spacing w:after="0"/>
        <w:jc w:val="both"/>
        <w:rPr>
          <w:rFonts w:cstheme="minorHAnsi"/>
          <w:lang w:val="hr-HR"/>
        </w:rPr>
      </w:pPr>
    </w:p>
    <w:p w:rsidR="00AC1D21" w:rsidRPr="00AC1D21" w:rsidRDefault="00AC1D21" w:rsidP="00AC1D21">
      <w:pPr>
        <w:spacing w:after="0"/>
        <w:jc w:val="both"/>
        <w:rPr>
          <w:rFonts w:cstheme="minorHAnsi"/>
          <w:lang w:val="hr-HR"/>
        </w:rPr>
      </w:pPr>
      <w:r w:rsidRPr="00AC1D21">
        <w:rPr>
          <w:rFonts w:cstheme="minorHAnsi"/>
          <w:lang w:val="hr-HR"/>
        </w:rPr>
        <w:t xml:space="preserve">Od ukupnog povećanja rashoda financiranih iz općih prihoda i primitaka, doprinosa i namjenskih primitaka 523,1 milijun eura odnosi se na prijeboj međusobnih potraživanja i obveza između Republike Hrvatske i Hrvatske elektroprivrede d.d. </w:t>
      </w:r>
    </w:p>
    <w:p w:rsidR="00AC1D21" w:rsidRPr="00AC1D21" w:rsidRDefault="00AC1D21" w:rsidP="00AC1D21">
      <w:pPr>
        <w:spacing w:after="0"/>
        <w:jc w:val="both"/>
        <w:rPr>
          <w:rFonts w:cstheme="minorHAnsi"/>
          <w:lang w:val="hr-HR"/>
        </w:rPr>
      </w:pPr>
      <w:r w:rsidRPr="00AC1D21">
        <w:rPr>
          <w:rFonts w:cstheme="minorHAnsi"/>
          <w:lang w:val="hr-HR"/>
        </w:rPr>
        <w:t xml:space="preserve">Naime, sukladno Pravilniku o planiranju u sustavu proračuna (Narodne novine, broj 1/2024) u planiranju, izvršavanju i izvještavanju o izvršavanju financijskih planova i proračuna priznavanje i iskazivanje poslovnih događaja temelji se na primjeni modificiranog novčanog načela. Navedeno znači, između ostaloga, da se za obračunska plaćanja kod kojih nema novčanog tijeka (kao što je prijeboj) planira prihod odnosno primitak i rashod odnosno izdatak prema proračunskim klasifikacijama u planskom odnosno izvještajnom razdoblju u kojem se obračunsko plaćanje provodi.   </w:t>
      </w:r>
    </w:p>
    <w:p w:rsidR="00AC1D21" w:rsidRPr="00AC1D21" w:rsidRDefault="00AC1D21" w:rsidP="00AC1D21">
      <w:pPr>
        <w:spacing w:after="0"/>
        <w:jc w:val="both"/>
        <w:rPr>
          <w:rFonts w:cstheme="minorHAnsi"/>
          <w:lang w:val="hr-HR"/>
        </w:rPr>
      </w:pPr>
      <w:r w:rsidRPr="00AC1D21">
        <w:rPr>
          <w:rFonts w:cstheme="minorHAnsi"/>
          <w:lang w:val="hr-HR"/>
        </w:rPr>
        <w:t>U ovom slučaju radi se o prijeboju, s jedne strane, potraživanja Republike Hrvatske prema društvu Hrvatska elektroprivreda d.d. za:</w:t>
      </w:r>
    </w:p>
    <w:p w:rsidR="00AC1D21" w:rsidRPr="00AC1D21" w:rsidRDefault="00AC1D21" w:rsidP="00DA1740">
      <w:pPr>
        <w:numPr>
          <w:ilvl w:val="0"/>
          <w:numId w:val="20"/>
        </w:numPr>
        <w:spacing w:after="0"/>
        <w:jc w:val="both"/>
        <w:rPr>
          <w:rFonts w:cstheme="minorHAnsi"/>
          <w:lang w:val="hr-HR"/>
        </w:rPr>
      </w:pPr>
      <w:r w:rsidRPr="00AC1D21">
        <w:rPr>
          <w:rFonts w:cstheme="minorHAnsi"/>
          <w:lang w:val="hr-HR"/>
        </w:rPr>
        <w:t>odobreni dioničarski zajam u iznosu od 400,0 milijuna eura (uvećan za kamate)</w:t>
      </w:r>
    </w:p>
    <w:p w:rsidR="00AC1D21" w:rsidRPr="00AC1D21" w:rsidRDefault="00AC1D21" w:rsidP="00DA1740">
      <w:pPr>
        <w:numPr>
          <w:ilvl w:val="0"/>
          <w:numId w:val="20"/>
        </w:numPr>
        <w:spacing w:after="0"/>
        <w:jc w:val="both"/>
        <w:rPr>
          <w:rFonts w:cstheme="minorHAnsi"/>
          <w:lang w:val="hr-HR"/>
        </w:rPr>
      </w:pPr>
      <w:r w:rsidRPr="00AC1D21">
        <w:rPr>
          <w:rFonts w:cstheme="minorHAnsi"/>
          <w:lang w:val="hr-HR"/>
        </w:rPr>
        <w:t>vrijednost isporučene opreme u okviru zatvaranja klirinškog duga u iznosu od 120,5 milijuna USD (oko 107,6 milijuna eura)</w:t>
      </w:r>
    </w:p>
    <w:p w:rsidR="00AC1D21" w:rsidRPr="00AC1D21" w:rsidRDefault="00AC1D21" w:rsidP="00AC1D21">
      <w:pPr>
        <w:spacing w:after="0"/>
        <w:jc w:val="both"/>
        <w:rPr>
          <w:rFonts w:cstheme="minorHAnsi"/>
          <w:lang w:val="hr-HR"/>
        </w:rPr>
      </w:pPr>
      <w:r w:rsidRPr="00AC1D21">
        <w:rPr>
          <w:rFonts w:cstheme="minorHAnsi"/>
          <w:lang w:val="hr-HR"/>
        </w:rPr>
        <w:t xml:space="preserve">i, s druge strane, obveze Republike Hrvatske prema društvu Hrvatska elektroprivreda d.d. za nadoknadu razlike u cijeni električne energije isporučene kupcima kategorije poduzetništvo u razdoblju od 1. listopada 2022. do 31. ožujka 2023. te razliku u cijeni toplinske energije. </w:t>
      </w:r>
    </w:p>
    <w:p w:rsidR="00AC1D21" w:rsidRPr="00AC1D21" w:rsidRDefault="00AC1D21" w:rsidP="00AC1D21">
      <w:pPr>
        <w:spacing w:after="0"/>
        <w:jc w:val="both"/>
        <w:rPr>
          <w:rFonts w:cstheme="minorHAnsi"/>
          <w:lang w:val="hr-HR"/>
        </w:rPr>
      </w:pPr>
    </w:p>
    <w:p w:rsidR="00135C45" w:rsidRPr="00AC1D21" w:rsidRDefault="00AC1D21" w:rsidP="00AC1D21">
      <w:pPr>
        <w:spacing w:after="0"/>
        <w:jc w:val="both"/>
        <w:rPr>
          <w:rFonts w:cstheme="minorHAnsi"/>
          <w:highlight w:val="yellow"/>
          <w:lang w:val="hr-HR"/>
        </w:rPr>
      </w:pPr>
      <w:r w:rsidRPr="00AC1D21">
        <w:rPr>
          <w:rFonts w:cstheme="minorHAnsi"/>
          <w:lang w:val="hr-HR"/>
        </w:rPr>
        <w:t>Preostalo povećanje uključuje i dodatna sredstva za nadoknadu razlike cijene opskrbljivačima toplinske i električne energije u iznosu od 73,6 milijuna eura, za provedbu Programa potpore poljoprivrednim proizvođačima za ublažavanje posljedica prirodnih nepogoda nastalih u 2024. godini u iznos od 15,0 milijuna eura i nadoknadu dijela troška dizelskog goriva koje se koristi kao pogonsko gorivo u komercijalnom cestovnom prijevozu putnika u iznosu od 5,6 milijuna eura.</w:t>
      </w:r>
      <w:r w:rsidR="00135C45" w:rsidRPr="00AC1D21">
        <w:rPr>
          <w:rFonts w:cstheme="minorHAnsi"/>
          <w:highlight w:val="yellow"/>
          <w:lang w:val="hr-HR"/>
        </w:rPr>
        <w:t xml:space="preserve"> </w:t>
      </w:r>
    </w:p>
    <w:p w:rsidR="00135C45" w:rsidRPr="00DA1740" w:rsidRDefault="00135C45" w:rsidP="00135C45">
      <w:pPr>
        <w:spacing w:after="0"/>
        <w:jc w:val="both"/>
        <w:rPr>
          <w:rFonts w:cstheme="minorHAnsi"/>
          <w:b/>
          <w:i/>
          <w:lang w:val="hr-HR"/>
        </w:rPr>
      </w:pPr>
      <w:r w:rsidRPr="00DA1740">
        <w:rPr>
          <w:rFonts w:cstheme="minorHAnsi"/>
          <w:b/>
          <w:i/>
          <w:lang w:val="hr-HR"/>
        </w:rPr>
        <w:lastRenderedPageBreak/>
        <w:t>Pomoći dane u inozemstvo i unutar općeg proračuna</w:t>
      </w:r>
    </w:p>
    <w:p w:rsidR="00993254" w:rsidRPr="00993254" w:rsidRDefault="00993254" w:rsidP="00993254">
      <w:pPr>
        <w:spacing w:after="0"/>
        <w:jc w:val="both"/>
        <w:rPr>
          <w:rFonts w:cstheme="minorHAnsi"/>
          <w:lang w:val="hr-HR"/>
        </w:rPr>
      </w:pPr>
      <w:r w:rsidRPr="00993254">
        <w:rPr>
          <w:rFonts w:cstheme="minorHAnsi"/>
          <w:lang w:val="hr-HR"/>
        </w:rPr>
        <w:t>Ukupne pomoći povećavaju se za 258,1 milijun eura kao rezultat s jedne strane povećanja rashoda financiranih iz općih prihoda i primitaka, doprinosa i namjenskih primitaka u iznosu od 373,4 milijuna eura i s druge strane smanjena rashoda financiranih iz EU i ostalih izvora za 115,3 milijuna eura radi usklađenja s dinamikom provedbe projekata krajnjih korisnika.</w:t>
      </w:r>
    </w:p>
    <w:p w:rsidR="00993254" w:rsidRPr="00993254" w:rsidRDefault="00993254" w:rsidP="00993254">
      <w:pPr>
        <w:spacing w:after="0"/>
        <w:jc w:val="both"/>
        <w:rPr>
          <w:rFonts w:cstheme="minorHAnsi"/>
          <w:lang w:val="hr-HR"/>
        </w:rPr>
      </w:pPr>
    </w:p>
    <w:p w:rsidR="00135C45" w:rsidRPr="00AC1D21" w:rsidRDefault="00993254" w:rsidP="00993254">
      <w:pPr>
        <w:spacing w:after="0"/>
        <w:jc w:val="both"/>
        <w:rPr>
          <w:rFonts w:cstheme="minorHAnsi"/>
          <w:highlight w:val="yellow"/>
          <w:lang w:val="hr-HR"/>
        </w:rPr>
      </w:pPr>
      <w:r w:rsidRPr="00993254">
        <w:rPr>
          <w:rFonts w:cstheme="minorHAnsi"/>
          <w:lang w:val="hr-HR"/>
        </w:rPr>
        <w:t>Rashodi financiranih iz općih prihoda i primitaka, doprinosa i namjenskih primitaka povećavaju se prvenstveno radi osiguranja sredstva za rashode za zaposlene u osnovnom i srednjem školstvu uslijed provedbe cjelovite reforme sustava plaća i to u iznosu od 211,5 milijuna eura. Osim toga dodatna sredstva osigurana su i za doprinos Republike Hrvatske proračunu Europske unije u iznosu od 75,9 milijuna eura. Značajnu ulogu u rastu ove kategorije rashoda imalo je i pokriće troškova vezanih uz nastavak obnove zgrada oštećenih potresom u iznosu od 111,1 milijuna eura.</w:t>
      </w:r>
    </w:p>
    <w:p w:rsidR="00135C45" w:rsidRPr="00993254" w:rsidRDefault="00135C45" w:rsidP="00135C45">
      <w:pPr>
        <w:spacing w:after="0"/>
        <w:jc w:val="both"/>
        <w:rPr>
          <w:rFonts w:cstheme="minorHAnsi"/>
          <w:lang w:val="hr-HR"/>
        </w:rPr>
      </w:pPr>
    </w:p>
    <w:p w:rsidR="00135C45" w:rsidRPr="00993254" w:rsidRDefault="00135C45" w:rsidP="00135C45">
      <w:pPr>
        <w:spacing w:after="0"/>
        <w:jc w:val="both"/>
        <w:rPr>
          <w:rFonts w:cstheme="minorHAnsi"/>
          <w:lang w:val="hr-HR" w:eastAsia="hr-HR"/>
        </w:rPr>
      </w:pPr>
      <w:r w:rsidRPr="00993254">
        <w:rPr>
          <w:rFonts w:cstheme="minorHAnsi"/>
          <w:b/>
          <w:i/>
          <w:lang w:val="hr-HR"/>
        </w:rPr>
        <w:t>Naknade građanima i kućanstvima</w:t>
      </w:r>
    </w:p>
    <w:p w:rsidR="00993254" w:rsidRPr="00993254" w:rsidRDefault="00993254" w:rsidP="00993254">
      <w:pPr>
        <w:spacing w:after="0"/>
        <w:jc w:val="both"/>
        <w:rPr>
          <w:rFonts w:cstheme="minorHAnsi"/>
          <w:lang w:val="hr-HR"/>
        </w:rPr>
      </w:pPr>
      <w:r w:rsidRPr="00993254">
        <w:rPr>
          <w:rFonts w:cstheme="minorHAnsi"/>
          <w:lang w:val="hr-HR"/>
        </w:rPr>
        <w:t xml:space="preserve">Ukupne naknade građanima i kućanstvima na temelju osiguranja i druge naknade planirane su na razini od 10,4 milijarde eura i u odnosu na tekući plan smanjuju se za 22,4 milijuna eura. </w:t>
      </w:r>
    </w:p>
    <w:p w:rsidR="00993254" w:rsidRPr="00993254" w:rsidRDefault="00993254" w:rsidP="00993254">
      <w:pPr>
        <w:spacing w:after="0"/>
        <w:jc w:val="both"/>
        <w:rPr>
          <w:rFonts w:cstheme="minorHAnsi"/>
          <w:lang w:val="hr-HR"/>
        </w:rPr>
      </w:pPr>
    </w:p>
    <w:p w:rsidR="00993254" w:rsidRPr="00993254" w:rsidRDefault="00993254" w:rsidP="00993254">
      <w:pPr>
        <w:spacing w:after="0"/>
        <w:jc w:val="both"/>
        <w:rPr>
          <w:rFonts w:cstheme="minorHAnsi"/>
          <w:lang w:val="hr-HR"/>
        </w:rPr>
      </w:pPr>
      <w:r w:rsidRPr="00993254">
        <w:rPr>
          <w:rFonts w:cstheme="minorHAnsi"/>
          <w:lang w:val="hr-HR"/>
        </w:rPr>
        <w:t xml:space="preserve">Ova kategorija rashoda financirana iz općih prihoda i primitaka, doprinosa i namjenskih primitaka smanjuje se za 63,9 milijuna eura kao rezultat s jedne strane ušteda ostvarenih uslijed manjih izdvajanja za mirovine u iznosu od 136,4 milijuna eura i smanjenog očekivanog broja korisnika doplatka za djecu u iznosu od 44,0 milijuna eura, osobne asistencije u iznosu od 41,3 milijuna eura i jednokratne naknade u iznosu od 22,0 milijuna eura te prvenstveno povećanih izdvajanja za primjenu Zakona o inkluzivnom dodatku u iznosu od 148,0 milijuna eura. </w:t>
      </w:r>
    </w:p>
    <w:p w:rsidR="00993254" w:rsidRPr="00993254" w:rsidRDefault="009A2AD6" w:rsidP="00993254">
      <w:pPr>
        <w:spacing w:after="0"/>
        <w:jc w:val="both"/>
        <w:rPr>
          <w:rFonts w:cstheme="minorHAnsi"/>
          <w:lang w:val="hr-HR"/>
        </w:rPr>
      </w:pPr>
      <w:r>
        <w:rPr>
          <w:rFonts w:cstheme="minorHAnsi"/>
          <w:lang w:val="hr-HR"/>
        </w:rPr>
        <w:t>Smanjenje rashoda za mirovine rezultat je n</w:t>
      </w:r>
      <w:r w:rsidR="00993254" w:rsidRPr="00993254">
        <w:rPr>
          <w:rFonts w:cstheme="minorHAnsi"/>
          <w:lang w:val="hr-HR"/>
        </w:rPr>
        <w:t>iže stope redovnog usklađivanja mirovine (indeksacija) od ranijih procjena. U trenutku izrade državnog proračuna nisu bili poznati svi čimbenici koji u najvećem dijelu utječu na ukupne rashode za mirovine, a odnose se na stope usklađivanja mirovina, te ukupni učinci Izmjena i dopuna Zakona o mirovinskom osiguranju. Isto tako, smanjenje izdvajanje za uslugu osobne asistencije neće utjecati na osiguranje usluge svima koji su podnijeli zahtjev u ovoj godini. Naime, sredstva su planirana sukladno zaprimljenim zahtjevima te je također u tijeku ugovaranje projekta izravne dodjele kroz koji će se dio troškova usluge osobne asistencije podmirivati sredstvima EU. Također, izdvajanja za jednokratnu naknadu usklađena su sa stvarnim potrebama korisnika iste.</w:t>
      </w:r>
    </w:p>
    <w:p w:rsidR="00993254" w:rsidRPr="00993254" w:rsidRDefault="00993254" w:rsidP="00993254">
      <w:pPr>
        <w:spacing w:after="0"/>
        <w:jc w:val="both"/>
        <w:rPr>
          <w:rFonts w:cstheme="minorHAnsi"/>
          <w:lang w:val="hr-HR"/>
        </w:rPr>
      </w:pPr>
      <w:r w:rsidRPr="00993254">
        <w:rPr>
          <w:rFonts w:cstheme="minorHAnsi"/>
          <w:lang w:val="hr-HR"/>
        </w:rPr>
        <w:t>Inkluzivni dodatak je novčana naknada namijenjena osobama s invaliditetom i osobama s teškoćama u razvoju. Ovaj dodatak nije u potpunosti nova novčana naknada već se njime objedinjavaju postojeća prava na osobnu invalidninu, pravo na doplatak za pomoć i njegu, pravo na doplatak za dijete s težim ili teškim invaliditetom i dijete s oštećenjem zdravlja te pravo na novčanu pomoć za nezaposlene osobe s invaliditetom. Međutim, osim objedinjavanja postojećih prava iznos inkluzivnog dodatka za sve korisnike bit će veći od iznosa objedinjenih naknada koje sada ostvaruju osobe s invaliditetom, s posebnim naglaskom na djecu s teškoćama u razvoju.</w:t>
      </w:r>
    </w:p>
    <w:p w:rsidR="00993254" w:rsidRPr="00993254" w:rsidRDefault="00993254" w:rsidP="00993254">
      <w:pPr>
        <w:spacing w:after="0"/>
        <w:jc w:val="both"/>
        <w:rPr>
          <w:rFonts w:cstheme="minorHAnsi"/>
          <w:lang w:val="hr-HR"/>
        </w:rPr>
      </w:pPr>
      <w:r w:rsidRPr="00993254">
        <w:rPr>
          <w:rFonts w:cstheme="minorHAnsi"/>
          <w:lang w:val="hr-HR"/>
        </w:rPr>
        <w:t xml:space="preserve">Uslijed očekivanog većeg broja korisnika, u okviru ove kategorije rashoda povećana su i izdvajanja za socijalne pomoći i naknade (zajamčena minimalna naknada, status roditelja njegovatelja i naknada za smještaj u udomiteljsku obitelj) u iznosu od 25,4 milijuna eura te dodatni rodiljni dopust u iznosu od 25,0 milijuna eura. </w:t>
      </w:r>
    </w:p>
    <w:p w:rsidR="00993254" w:rsidRPr="00993254" w:rsidRDefault="00993254" w:rsidP="00993254">
      <w:pPr>
        <w:spacing w:after="0"/>
        <w:jc w:val="both"/>
        <w:rPr>
          <w:rFonts w:cstheme="minorHAnsi"/>
          <w:lang w:val="hr-HR"/>
        </w:rPr>
      </w:pPr>
    </w:p>
    <w:p w:rsidR="00135C45" w:rsidRPr="00AC1D21" w:rsidRDefault="00993254" w:rsidP="00993254">
      <w:pPr>
        <w:spacing w:after="0"/>
        <w:jc w:val="both"/>
        <w:rPr>
          <w:rFonts w:cstheme="minorHAnsi"/>
          <w:highlight w:val="yellow"/>
          <w:lang w:val="hr-HR"/>
        </w:rPr>
      </w:pPr>
      <w:r w:rsidRPr="00993254">
        <w:rPr>
          <w:rFonts w:cstheme="minorHAnsi"/>
          <w:lang w:val="hr-HR"/>
        </w:rPr>
        <w:t xml:space="preserve">Ova skupina rashoda uključuje i povećana izdvajanja rashoda financiranih iz EU i ostalih izvora u iznosu od 41,6 milijuna eura. Ovo povećanje rashoda financiranih iz ostalih izvora prvenstveno proizlazi iz </w:t>
      </w:r>
      <w:r w:rsidRPr="00993254">
        <w:rPr>
          <w:rFonts w:cstheme="minorHAnsi"/>
          <w:lang w:val="hr-HR"/>
        </w:rPr>
        <w:lastRenderedPageBreak/>
        <w:t>povećanih izdvajanja za sanaciju štete uzrokovane potresom u iznosu od 17,0 milijuna eura, povećanih izdvajanja za osobnu asistenciju iz EU sredstava u iznosu od 13,6 milijuna eura i produženog roka isplate uvećanog iznosa naknade za ugroženog kupaca energenata u iznosu od 6,7 milijuna eura što je također jedna od mjera iz 6. i 7. paketa Vlade Republike Hrvatske.</w:t>
      </w:r>
    </w:p>
    <w:p w:rsidR="00135C45" w:rsidRPr="00993254" w:rsidRDefault="00135C45" w:rsidP="00135C45">
      <w:pPr>
        <w:spacing w:after="0"/>
        <w:jc w:val="both"/>
        <w:rPr>
          <w:rFonts w:cstheme="minorHAnsi"/>
          <w:lang w:val="hr-HR"/>
        </w:rPr>
      </w:pPr>
    </w:p>
    <w:p w:rsidR="00135C45" w:rsidRPr="00993254" w:rsidRDefault="00135C45" w:rsidP="00135C45">
      <w:pPr>
        <w:spacing w:after="0"/>
        <w:jc w:val="both"/>
        <w:rPr>
          <w:rFonts w:cstheme="minorHAnsi"/>
          <w:b/>
          <w:i/>
          <w:lang w:val="hr-HR"/>
        </w:rPr>
      </w:pPr>
      <w:r w:rsidRPr="00993254">
        <w:rPr>
          <w:rFonts w:cstheme="minorHAnsi"/>
          <w:b/>
          <w:i/>
          <w:lang w:val="hr-HR"/>
        </w:rPr>
        <w:t xml:space="preserve">Ostali rashodi </w:t>
      </w:r>
    </w:p>
    <w:p w:rsidR="00135C45" w:rsidRPr="00AC1D21" w:rsidRDefault="00993254" w:rsidP="00135C45">
      <w:pPr>
        <w:spacing w:after="0"/>
        <w:jc w:val="both"/>
        <w:rPr>
          <w:rFonts w:cstheme="minorHAnsi"/>
          <w:highlight w:val="yellow"/>
          <w:lang w:val="hr-HR"/>
        </w:rPr>
      </w:pPr>
      <w:r w:rsidRPr="00993254">
        <w:rPr>
          <w:rFonts w:cstheme="minorHAnsi"/>
          <w:lang w:val="hr-HR"/>
        </w:rPr>
        <w:t>Ukupni ostali rashodi smanjuju se za 162,5 milijuna eura i to prvenstveno zbog smanjenja rashoda financiranih iz EU i ostalih izvora u iznosu od 133,0 milijuna eura najvećim dijelom radi usklađenja s dinamikom provedbe projekata krajnjih korisnika.</w:t>
      </w:r>
    </w:p>
    <w:p w:rsidR="00135C45" w:rsidRPr="00993254" w:rsidRDefault="00135C45" w:rsidP="00135C45">
      <w:pPr>
        <w:spacing w:after="0"/>
        <w:jc w:val="both"/>
        <w:rPr>
          <w:rFonts w:cstheme="minorHAnsi"/>
          <w:lang w:val="hr-HR"/>
        </w:rPr>
      </w:pPr>
    </w:p>
    <w:p w:rsidR="00135C45" w:rsidRPr="00993254" w:rsidRDefault="00135C45" w:rsidP="00135C45">
      <w:pPr>
        <w:spacing w:after="0"/>
        <w:jc w:val="both"/>
        <w:rPr>
          <w:rFonts w:cstheme="minorHAnsi"/>
          <w:b/>
          <w:lang w:val="hr-HR"/>
        </w:rPr>
      </w:pPr>
      <w:r w:rsidRPr="00993254">
        <w:rPr>
          <w:rFonts w:cstheme="minorHAnsi"/>
          <w:b/>
          <w:lang w:val="hr-HR"/>
        </w:rPr>
        <w:t>Rashodi za nabavu nefinancijske imovine</w:t>
      </w:r>
    </w:p>
    <w:p w:rsidR="00135C45" w:rsidRPr="00AC1D21" w:rsidRDefault="00993254" w:rsidP="00135C45">
      <w:pPr>
        <w:spacing w:after="0"/>
        <w:jc w:val="both"/>
        <w:rPr>
          <w:rFonts w:cstheme="minorHAnsi"/>
          <w:highlight w:val="yellow"/>
          <w:lang w:val="hr-HR"/>
        </w:rPr>
      </w:pPr>
      <w:r w:rsidRPr="00993254">
        <w:rPr>
          <w:rFonts w:cstheme="minorHAnsi"/>
          <w:lang w:val="hr-HR"/>
        </w:rPr>
        <w:t>Ukupni rashodi za nabavu nefinancijske imovine smanjuju se za 217,5 milijuna eura i iznose 1,9 milijardi eura. Navedeno je rezultat usklađenja s dinamikom provedbe projekata krajnjih korisnika.</w:t>
      </w:r>
    </w:p>
    <w:p w:rsidR="001F1D66" w:rsidRPr="00AC1D21" w:rsidRDefault="001F1D66" w:rsidP="007C5725">
      <w:pPr>
        <w:spacing w:after="0"/>
        <w:jc w:val="both"/>
        <w:rPr>
          <w:rFonts w:cstheme="minorHAnsi"/>
          <w:highlight w:val="yellow"/>
          <w:lang w:val="hr-HR"/>
        </w:rPr>
      </w:pPr>
    </w:p>
    <w:p w:rsidR="00D46757" w:rsidRPr="00993254" w:rsidRDefault="00A461B3" w:rsidP="00D46757">
      <w:pPr>
        <w:pStyle w:val="Heading2"/>
        <w:numPr>
          <w:ilvl w:val="1"/>
          <w:numId w:val="3"/>
        </w:numPr>
        <w:spacing w:after="240"/>
        <w:ind w:left="993" w:hanging="567"/>
        <w:rPr>
          <w:rFonts w:asciiTheme="minorHAnsi" w:hAnsiTheme="minorHAnsi" w:cstheme="minorHAnsi"/>
          <w:sz w:val="22"/>
          <w:szCs w:val="22"/>
          <w:lang w:val="hr-HR"/>
        </w:rPr>
      </w:pPr>
      <w:bookmarkStart w:id="13" w:name="_Toc23378482"/>
      <w:bookmarkStart w:id="14" w:name="_Toc178762835"/>
      <w:r w:rsidRPr="00993254">
        <w:rPr>
          <w:rFonts w:asciiTheme="minorHAnsi" w:hAnsiTheme="minorHAnsi" w:cstheme="minorHAnsi"/>
          <w:sz w:val="22"/>
          <w:szCs w:val="22"/>
          <w:lang w:val="hr-HR"/>
        </w:rPr>
        <w:t>Obrazloženje rashoda po funkcijskoj klasifikaciji</w:t>
      </w:r>
      <w:bookmarkEnd w:id="13"/>
      <w:bookmarkEnd w:id="14"/>
    </w:p>
    <w:p w:rsidR="0090598D" w:rsidRPr="00AC1D21" w:rsidRDefault="00E671B1" w:rsidP="0090598D">
      <w:pPr>
        <w:spacing w:after="0"/>
        <w:jc w:val="both"/>
        <w:rPr>
          <w:rFonts w:cstheme="minorHAnsi"/>
          <w:highlight w:val="yellow"/>
          <w:lang w:val="hr-HR"/>
        </w:rPr>
      </w:pPr>
      <w:r w:rsidRPr="00E671B1">
        <w:rPr>
          <w:rFonts w:cstheme="minorHAnsi"/>
          <w:lang w:val="hr-HR"/>
        </w:rPr>
        <w:t>Gledano kroz funkcijsku klasifikaciju rashodi državnog proračuna povećavaju se za 975,6 milijuna eura, najvećim dijelom uslijed povećanih izdvajanja za:</w:t>
      </w:r>
    </w:p>
    <w:p w:rsidR="00E671B1" w:rsidRPr="00E671B1" w:rsidRDefault="00E671B1" w:rsidP="00E671B1">
      <w:pPr>
        <w:pStyle w:val="ListParagraph"/>
        <w:numPr>
          <w:ilvl w:val="0"/>
          <w:numId w:val="11"/>
        </w:numPr>
        <w:spacing w:after="0"/>
        <w:jc w:val="both"/>
        <w:rPr>
          <w:rFonts w:cstheme="minorHAnsi"/>
          <w:lang w:val="hr-HR"/>
        </w:rPr>
      </w:pPr>
      <w:r w:rsidRPr="00E671B1">
        <w:rPr>
          <w:rFonts w:cstheme="minorHAnsi"/>
          <w:lang w:val="hr-HR"/>
        </w:rPr>
        <w:t>ekonomske poslove u iznosu od 416,4 milijuna eura prvenstveno uslijed povećanja sredstava za podmirenje naknada za energente u iznosu od 596,6 milijuna eura od čega se 523,1 milijun eura odnosi na prijeboj međusobnih potraživanja i obveza između Republike Hrvatske i Hrvatske elektroprivrede d.d. i smanjenja u okviru ostalih rashoda i rashoda za nabavu nefinancijske imovine u iznosu od 213,8 milijuna eura što je rezultat usklađenja s dinamikom provedbe projekata krajnjih korisnika.</w:t>
      </w:r>
    </w:p>
    <w:p w:rsidR="00E671B1" w:rsidRPr="00E671B1" w:rsidRDefault="00E671B1" w:rsidP="00E671B1">
      <w:pPr>
        <w:pStyle w:val="ListParagraph"/>
        <w:numPr>
          <w:ilvl w:val="0"/>
          <w:numId w:val="11"/>
        </w:numPr>
        <w:spacing w:after="0"/>
        <w:jc w:val="both"/>
        <w:rPr>
          <w:rFonts w:cstheme="minorHAnsi"/>
          <w:lang w:val="hr-HR"/>
        </w:rPr>
      </w:pPr>
      <w:r w:rsidRPr="00E671B1">
        <w:rPr>
          <w:rFonts w:cstheme="minorHAnsi"/>
          <w:lang w:val="hr-HR"/>
        </w:rPr>
        <w:t>zdravstvo u iznosu od 207,1 milijun eura, a najvećim dijelom zbog osiguranja sredstava za rast koeficijenata složenosti poslova u javnim službama za obračun plaća u sektoru zdravstva te dodatnih sredstava za ustanove u zdravstvu financirane iz prihoda temeljem ugovornog odnosa sa Hrvatskim zavodom za zdravstveno osiguranje.</w:t>
      </w:r>
    </w:p>
    <w:p w:rsidR="00E671B1" w:rsidRPr="00E671B1" w:rsidRDefault="00E671B1" w:rsidP="00E671B1">
      <w:pPr>
        <w:pStyle w:val="ListParagraph"/>
        <w:numPr>
          <w:ilvl w:val="0"/>
          <w:numId w:val="11"/>
        </w:numPr>
        <w:spacing w:after="0"/>
        <w:jc w:val="both"/>
        <w:rPr>
          <w:rFonts w:cstheme="minorHAnsi"/>
          <w:lang w:val="hr-HR"/>
        </w:rPr>
      </w:pPr>
      <w:r w:rsidRPr="00E671B1">
        <w:rPr>
          <w:rFonts w:cstheme="minorHAnsi"/>
          <w:lang w:val="hr-HR"/>
        </w:rPr>
        <w:t xml:space="preserve">obrazovanje u iznosu od 156,4 milijuna eura zbog povećanih izdvajanja za sanaciju štete uzrokovane potresom i za rashode za zaposlene </w:t>
      </w:r>
    </w:p>
    <w:p w:rsidR="00E671B1" w:rsidRPr="00E671B1" w:rsidRDefault="00E671B1" w:rsidP="00E671B1">
      <w:pPr>
        <w:pStyle w:val="ListParagraph"/>
        <w:numPr>
          <w:ilvl w:val="0"/>
          <w:numId w:val="11"/>
        </w:numPr>
        <w:spacing w:after="0"/>
        <w:jc w:val="both"/>
        <w:rPr>
          <w:rFonts w:cstheme="minorHAnsi"/>
          <w:lang w:val="hr-HR"/>
        </w:rPr>
      </w:pPr>
      <w:r w:rsidRPr="00E671B1">
        <w:rPr>
          <w:rFonts w:cstheme="minorHAnsi"/>
          <w:lang w:val="hr-HR"/>
        </w:rPr>
        <w:t>obranu u iznosu od 103,0 milijuna eura zbog povećanih izdvajanja za rashode za zaposlene u sustavu obrane i nabavu vojne opreme</w:t>
      </w:r>
    </w:p>
    <w:p w:rsidR="00E671B1" w:rsidRPr="00E671B1" w:rsidRDefault="00E671B1" w:rsidP="00E671B1">
      <w:pPr>
        <w:pStyle w:val="ListParagraph"/>
        <w:numPr>
          <w:ilvl w:val="0"/>
          <w:numId w:val="11"/>
        </w:numPr>
        <w:spacing w:after="0"/>
        <w:jc w:val="both"/>
        <w:rPr>
          <w:rFonts w:cstheme="minorHAnsi"/>
          <w:lang w:val="hr-HR"/>
        </w:rPr>
      </w:pPr>
      <w:r w:rsidRPr="00E671B1">
        <w:rPr>
          <w:rFonts w:cstheme="minorHAnsi"/>
          <w:lang w:val="hr-HR"/>
        </w:rPr>
        <w:t xml:space="preserve">rekreaciju, kulturu i religiju u iznosu od 101,6 milijuna eura zbog povećanih izdvajanja za sanaciju štete uzrokovane potresom </w:t>
      </w:r>
    </w:p>
    <w:p w:rsidR="00E671B1" w:rsidRPr="00E671B1" w:rsidRDefault="00E671B1" w:rsidP="00E671B1">
      <w:pPr>
        <w:pStyle w:val="ListParagraph"/>
        <w:numPr>
          <w:ilvl w:val="0"/>
          <w:numId w:val="11"/>
        </w:numPr>
        <w:spacing w:after="0"/>
        <w:jc w:val="both"/>
        <w:rPr>
          <w:rFonts w:cstheme="minorHAnsi"/>
          <w:lang w:val="hr-HR"/>
        </w:rPr>
      </w:pPr>
      <w:r w:rsidRPr="00E671B1">
        <w:rPr>
          <w:rFonts w:cstheme="minorHAnsi"/>
          <w:lang w:val="hr-HR"/>
        </w:rPr>
        <w:t>javni red i sigurnost u iznosu od 84,2 milijuna eura zbog izdvajanja za rashode za zaposlene Ministarstva unutarnjih poslova</w:t>
      </w:r>
    </w:p>
    <w:p w:rsidR="00E671B1" w:rsidRPr="00E671B1" w:rsidRDefault="00E671B1" w:rsidP="00E671B1">
      <w:pPr>
        <w:pStyle w:val="ListParagraph"/>
        <w:spacing w:after="0"/>
        <w:ind w:left="1080"/>
        <w:jc w:val="both"/>
        <w:rPr>
          <w:rFonts w:cstheme="minorHAnsi"/>
          <w:lang w:val="hr-HR"/>
        </w:rPr>
      </w:pPr>
    </w:p>
    <w:p w:rsidR="0090598D" w:rsidRPr="00E671B1" w:rsidRDefault="00E671B1" w:rsidP="00E671B1">
      <w:pPr>
        <w:spacing w:after="0"/>
        <w:jc w:val="both"/>
        <w:rPr>
          <w:rFonts w:cstheme="minorHAnsi"/>
          <w:lang w:val="hr-HR"/>
        </w:rPr>
      </w:pPr>
      <w:r w:rsidRPr="00E671B1">
        <w:rPr>
          <w:rFonts w:cstheme="minorHAnsi"/>
          <w:lang w:val="hr-HR"/>
        </w:rPr>
        <w:t>Istovremeno</w:t>
      </w:r>
      <w:r w:rsidR="002D5B5F">
        <w:rPr>
          <w:rFonts w:cstheme="minorHAnsi"/>
          <w:lang w:val="hr-HR"/>
        </w:rPr>
        <w:t>,</w:t>
      </w:r>
      <w:r w:rsidRPr="00E671B1">
        <w:rPr>
          <w:rFonts w:cstheme="minorHAnsi"/>
          <w:lang w:val="hr-HR"/>
        </w:rPr>
        <w:t xml:space="preserve"> smanjena su izdvajanja u području usluga unapređenja stanovanja i zajednice u iznosu od 94,2 milijuna eura </w:t>
      </w:r>
      <w:r w:rsidR="002D5B5F">
        <w:rPr>
          <w:rFonts w:cstheme="minorHAnsi"/>
          <w:lang w:val="hr-HR"/>
        </w:rPr>
        <w:t xml:space="preserve">i </w:t>
      </w:r>
      <w:r w:rsidRPr="00E671B1">
        <w:rPr>
          <w:rFonts w:cstheme="minorHAnsi"/>
          <w:lang w:val="hr-HR"/>
        </w:rPr>
        <w:t>to najvećim dijelom uslijed promijenjene dinamike provedbe projekta financiranih u okviru Operativnog programa konkurentnost i kohezija 2014-2020 i Program konkurentnost i kohezija 2021-2027. Osim toga</w:t>
      </w:r>
      <w:r w:rsidR="002D5B5F">
        <w:rPr>
          <w:rFonts w:cstheme="minorHAnsi"/>
          <w:lang w:val="hr-HR"/>
        </w:rPr>
        <w:t>,</w:t>
      </w:r>
      <w:r w:rsidRPr="00E671B1">
        <w:rPr>
          <w:rFonts w:cstheme="minorHAnsi"/>
          <w:lang w:val="hr-HR"/>
        </w:rPr>
        <w:t xml:space="preserve"> smanjenja su i izdvajanja za opće javne usluge u iznosu od 43,9 milijuna eura.</w:t>
      </w:r>
    </w:p>
    <w:p w:rsidR="0054100C" w:rsidRPr="00E671B1" w:rsidRDefault="0054100C" w:rsidP="0090598D">
      <w:pPr>
        <w:spacing w:after="0"/>
        <w:jc w:val="both"/>
        <w:rPr>
          <w:rFonts w:cstheme="minorHAnsi"/>
          <w:lang w:val="hr-HR"/>
        </w:rPr>
      </w:pPr>
      <w:r w:rsidRPr="00E671B1">
        <w:rPr>
          <w:rFonts w:cstheme="minorHAnsi"/>
          <w:i/>
        </w:rPr>
        <w:t xml:space="preserve">Tablica </w:t>
      </w:r>
      <w:r w:rsidR="00F03484" w:rsidRPr="00E671B1">
        <w:rPr>
          <w:rFonts w:cstheme="minorHAnsi"/>
          <w:i/>
        </w:rPr>
        <w:t>4</w:t>
      </w:r>
      <w:r w:rsidRPr="00E671B1">
        <w:rPr>
          <w:rFonts w:cstheme="minorHAnsi"/>
          <w:i/>
        </w:rPr>
        <w:t>. Rashodi državnog proračuna po funkcijskoj klasifikaciji</w:t>
      </w:r>
      <w:r w:rsidRPr="00E671B1">
        <w:rPr>
          <w:rFonts w:cstheme="minorHAnsi"/>
        </w:rPr>
        <w:t xml:space="preserve">  </w:t>
      </w:r>
    </w:p>
    <w:p w:rsidR="00D46757" w:rsidRPr="00AC1D21" w:rsidRDefault="00791EF6" w:rsidP="00E671B1">
      <w:pPr>
        <w:spacing w:after="0"/>
        <w:rPr>
          <w:highlight w:val="yellow"/>
          <w:lang w:val="hr-HR"/>
        </w:rPr>
      </w:pPr>
      <w:r w:rsidRPr="00753D78">
        <w:rPr>
          <w:noProof/>
          <w:lang w:val="hr-HR" w:eastAsia="hr-HR"/>
        </w:rPr>
        <w:lastRenderedPageBreak/>
        <w:drawing>
          <wp:inline distT="0" distB="0" distL="0" distR="0" wp14:anchorId="202E9D35" wp14:editId="3751B73F">
            <wp:extent cx="5637530" cy="2679700"/>
            <wp:effectExtent l="0" t="0" r="127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7530" cy="2679700"/>
                    </a:xfrm>
                    <a:prstGeom prst="rect">
                      <a:avLst/>
                    </a:prstGeom>
                    <a:noFill/>
                    <a:ln>
                      <a:noFill/>
                    </a:ln>
                  </pic:spPr>
                </pic:pic>
              </a:graphicData>
            </a:graphic>
          </wp:inline>
        </w:drawing>
      </w:r>
    </w:p>
    <w:p w:rsidR="007C5725" w:rsidRPr="00E671B1" w:rsidRDefault="0054100C" w:rsidP="0054100C">
      <w:pPr>
        <w:rPr>
          <w:rFonts w:cstheme="minorHAnsi"/>
          <w:i/>
        </w:rPr>
      </w:pPr>
      <w:r w:rsidRPr="00E671B1">
        <w:rPr>
          <w:rFonts w:cstheme="minorHAnsi"/>
          <w:i/>
        </w:rPr>
        <w:t>Izvor: Ministarstvo financija</w:t>
      </w:r>
    </w:p>
    <w:p w:rsidR="00A77AFD" w:rsidRPr="00E671B1" w:rsidRDefault="00A77AFD" w:rsidP="0054100C">
      <w:pPr>
        <w:rPr>
          <w:rFonts w:cstheme="minorHAnsi"/>
          <w:b/>
          <w:i/>
        </w:rPr>
      </w:pPr>
    </w:p>
    <w:p w:rsidR="00E21C16" w:rsidRPr="00E671B1" w:rsidRDefault="00A461B3" w:rsidP="007C5725">
      <w:pPr>
        <w:pStyle w:val="Heading2"/>
        <w:numPr>
          <w:ilvl w:val="1"/>
          <w:numId w:val="3"/>
        </w:numPr>
        <w:spacing w:after="240"/>
        <w:ind w:left="993" w:hanging="567"/>
        <w:rPr>
          <w:rFonts w:asciiTheme="minorHAnsi" w:hAnsiTheme="minorHAnsi" w:cstheme="minorHAnsi"/>
          <w:sz w:val="22"/>
          <w:szCs w:val="22"/>
          <w:lang w:val="hr-HR"/>
        </w:rPr>
      </w:pPr>
      <w:bookmarkStart w:id="15" w:name="_Toc23378483"/>
      <w:bookmarkStart w:id="16" w:name="_Toc178762836"/>
      <w:r w:rsidRPr="00E671B1">
        <w:rPr>
          <w:rFonts w:asciiTheme="minorHAnsi" w:hAnsiTheme="minorHAnsi" w:cstheme="minorHAnsi"/>
          <w:sz w:val="22"/>
          <w:szCs w:val="22"/>
          <w:lang w:val="hr-HR"/>
        </w:rPr>
        <w:t>Obrazloženje rashoda po izvorima financiranja</w:t>
      </w:r>
      <w:bookmarkEnd w:id="15"/>
      <w:bookmarkEnd w:id="16"/>
    </w:p>
    <w:p w:rsidR="00A77AFD" w:rsidRPr="00AC1D21" w:rsidRDefault="00A77AFD" w:rsidP="00961B26">
      <w:pPr>
        <w:pStyle w:val="Caption"/>
        <w:spacing w:line="276" w:lineRule="auto"/>
        <w:rPr>
          <w:rFonts w:asciiTheme="minorHAnsi" w:eastAsiaTheme="minorHAnsi" w:hAnsiTheme="minorHAnsi" w:cstheme="minorHAnsi"/>
          <w:b w:val="0"/>
          <w:bCs w:val="0"/>
          <w:sz w:val="22"/>
          <w:szCs w:val="22"/>
          <w:highlight w:val="yellow"/>
        </w:rPr>
      </w:pPr>
    </w:p>
    <w:p w:rsidR="007751CC" w:rsidRPr="00AC1D21" w:rsidRDefault="00E671B1" w:rsidP="007751CC">
      <w:pPr>
        <w:spacing w:after="0"/>
        <w:jc w:val="both"/>
        <w:rPr>
          <w:rFonts w:cstheme="minorHAnsi"/>
          <w:highlight w:val="yellow"/>
          <w:lang w:val="hr-HR"/>
        </w:rPr>
      </w:pPr>
      <w:r w:rsidRPr="00E671B1">
        <w:rPr>
          <w:rFonts w:cstheme="minorHAnsi"/>
          <w:lang w:val="hr-HR"/>
        </w:rPr>
        <w:t>U cilju daljnjeg povećanja transparentnosti korištenja proračunskih sredstava u nastavku se u okviru obrazloženja rashoda državnog proračuna, daje prikaz rashoda i po izvorima financiranja. Gledano kroz izvore financiranja, rashodi koji se financiraju iz općih prihoda i primitaka, doprinosa i namjenskih primitaka povećavaju se za 1,1 milijardu eura, dok se rashodi koji se financiraju iz vlastitih prihoda, prihoda za posebne namjene, pomoći (koje uključuju EU sredstva), donacija i prihoda od nefinancijske imovine i nadoknade štete s osnova osiguranja smanjuju za 139,6 milijuna eura.</w:t>
      </w:r>
      <w:r w:rsidR="007751CC" w:rsidRPr="00AC1D21">
        <w:rPr>
          <w:rFonts w:cstheme="minorHAnsi"/>
          <w:highlight w:val="yellow"/>
          <w:lang w:val="hr-HR"/>
        </w:rPr>
        <w:t xml:space="preserve"> </w:t>
      </w:r>
    </w:p>
    <w:p w:rsidR="00A77AFD" w:rsidRPr="00AC1D21" w:rsidRDefault="00A77AFD" w:rsidP="0054100C">
      <w:pPr>
        <w:pStyle w:val="Caption"/>
        <w:rPr>
          <w:rFonts w:asciiTheme="minorHAnsi" w:eastAsiaTheme="minorHAnsi" w:hAnsiTheme="minorHAnsi" w:cstheme="minorBidi"/>
          <w:b w:val="0"/>
          <w:bCs w:val="0"/>
          <w:sz w:val="22"/>
          <w:szCs w:val="22"/>
          <w:highlight w:val="yellow"/>
        </w:rPr>
      </w:pPr>
    </w:p>
    <w:p w:rsidR="0054100C" w:rsidRPr="00E671B1" w:rsidRDefault="00F03484" w:rsidP="0054100C">
      <w:pPr>
        <w:pStyle w:val="Caption"/>
        <w:rPr>
          <w:rFonts w:asciiTheme="minorHAnsi" w:hAnsiTheme="minorHAnsi" w:cstheme="minorHAnsi"/>
          <w:b w:val="0"/>
          <w:i/>
          <w:sz w:val="22"/>
          <w:szCs w:val="22"/>
        </w:rPr>
      </w:pPr>
      <w:r w:rsidRPr="00E671B1">
        <w:rPr>
          <w:rFonts w:asciiTheme="minorHAnsi" w:hAnsiTheme="minorHAnsi" w:cstheme="minorHAnsi"/>
          <w:b w:val="0"/>
          <w:i/>
          <w:sz w:val="22"/>
          <w:szCs w:val="22"/>
        </w:rPr>
        <w:t>Tablica 5</w:t>
      </w:r>
      <w:r w:rsidR="0054100C" w:rsidRPr="00E671B1">
        <w:rPr>
          <w:rFonts w:asciiTheme="minorHAnsi" w:hAnsiTheme="minorHAnsi" w:cstheme="minorHAnsi"/>
          <w:b w:val="0"/>
          <w:i/>
          <w:sz w:val="22"/>
          <w:szCs w:val="22"/>
        </w:rPr>
        <w:t>. Rashodi državnog proračuna po izvorima financiranja</w:t>
      </w:r>
    </w:p>
    <w:p w:rsidR="0054100C" w:rsidRPr="00AC1D21" w:rsidRDefault="00791EF6" w:rsidP="0054100C">
      <w:pPr>
        <w:pStyle w:val="Caption"/>
        <w:rPr>
          <w:rFonts w:asciiTheme="minorHAnsi" w:hAnsiTheme="minorHAnsi" w:cstheme="minorHAnsi"/>
          <w:sz w:val="22"/>
          <w:szCs w:val="22"/>
          <w:highlight w:val="yellow"/>
        </w:rPr>
      </w:pPr>
      <w:r w:rsidRPr="00BE6522">
        <w:rPr>
          <w:noProof/>
          <w:lang w:eastAsia="hr-HR"/>
        </w:rPr>
        <w:drawing>
          <wp:inline distT="0" distB="0" distL="0" distR="0" wp14:anchorId="60148C08" wp14:editId="0F4CF3EA">
            <wp:extent cx="5759450" cy="2225438"/>
            <wp:effectExtent l="0" t="0" r="0" b="381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225438"/>
                    </a:xfrm>
                    <a:prstGeom prst="rect">
                      <a:avLst/>
                    </a:prstGeom>
                    <a:noFill/>
                    <a:ln>
                      <a:noFill/>
                    </a:ln>
                  </pic:spPr>
                </pic:pic>
              </a:graphicData>
            </a:graphic>
          </wp:inline>
        </w:drawing>
      </w:r>
    </w:p>
    <w:p w:rsidR="0054100C" w:rsidRPr="00E671B1" w:rsidRDefault="0054100C" w:rsidP="0054100C">
      <w:pPr>
        <w:spacing w:after="0" w:line="240" w:lineRule="auto"/>
        <w:rPr>
          <w:rFonts w:cstheme="minorHAnsi"/>
          <w:i/>
          <w:lang w:val="hr-HR"/>
        </w:rPr>
      </w:pPr>
      <w:r w:rsidRPr="00E671B1">
        <w:rPr>
          <w:rFonts w:cstheme="minorHAnsi"/>
          <w:i/>
          <w:lang w:val="hr-HR"/>
        </w:rPr>
        <w:t>Izvor: Ministarstvo financija</w:t>
      </w:r>
    </w:p>
    <w:p w:rsidR="0054100C" w:rsidRPr="00AC1D21" w:rsidRDefault="0054100C" w:rsidP="0054100C">
      <w:pPr>
        <w:spacing w:after="0" w:line="240" w:lineRule="auto"/>
        <w:jc w:val="both"/>
        <w:rPr>
          <w:rFonts w:cstheme="minorHAnsi"/>
          <w:highlight w:val="yellow"/>
          <w:lang w:val="hr-HR"/>
        </w:rPr>
      </w:pPr>
    </w:p>
    <w:p w:rsidR="0054100C" w:rsidRPr="0054100C" w:rsidRDefault="0054100C" w:rsidP="00F97CF8">
      <w:pPr>
        <w:jc w:val="both"/>
        <w:rPr>
          <w:rFonts w:cstheme="minorHAnsi"/>
          <w:lang w:val="hr-HR"/>
        </w:rPr>
      </w:pPr>
      <w:r>
        <w:rPr>
          <w:rFonts w:cstheme="minorHAnsi"/>
          <w:lang w:val="hr-HR"/>
        </w:rPr>
        <w:br w:type="page"/>
      </w:r>
    </w:p>
    <w:p w:rsidR="00462EC5" w:rsidRPr="0054100C" w:rsidRDefault="00462EC5" w:rsidP="0054100C">
      <w:pPr>
        <w:pStyle w:val="Heading1"/>
        <w:numPr>
          <w:ilvl w:val="0"/>
          <w:numId w:val="1"/>
        </w:numPr>
        <w:rPr>
          <w:lang w:val="hr-HR"/>
        </w:rPr>
      </w:pPr>
      <w:bookmarkStart w:id="17" w:name="_Toc178762837"/>
      <w:r w:rsidRPr="009B5CBF">
        <w:rPr>
          <w:lang w:val="hr-HR"/>
        </w:rPr>
        <w:lastRenderedPageBreak/>
        <w:t>UKUPNI MANJAK DRŽAVNOG PRORAČUNA</w:t>
      </w:r>
      <w:bookmarkEnd w:id="17"/>
    </w:p>
    <w:p w:rsidR="00F03436" w:rsidRPr="00F03436" w:rsidRDefault="00F03436" w:rsidP="00F03436">
      <w:pPr>
        <w:spacing w:before="240"/>
        <w:jc w:val="both"/>
        <w:rPr>
          <w:rFonts w:cs="Times New Roman"/>
          <w:lang w:val="hr-HR"/>
        </w:rPr>
      </w:pPr>
      <w:r w:rsidRPr="00F03436">
        <w:rPr>
          <w:rFonts w:cs="Times New Roman"/>
          <w:lang w:val="hr-HR"/>
        </w:rPr>
        <w:t xml:space="preserve">Slijedom ukupno planiranih prihoda u iznosu od </w:t>
      </w:r>
      <w:r w:rsidR="007D4EC4">
        <w:rPr>
          <w:rFonts w:cs="Times New Roman"/>
          <w:lang w:val="hr-HR"/>
        </w:rPr>
        <w:t>30</w:t>
      </w:r>
      <w:r w:rsidR="005432B2">
        <w:rPr>
          <w:rFonts w:cs="Times New Roman"/>
          <w:lang w:val="hr-HR"/>
        </w:rPr>
        <w:t>,</w:t>
      </w:r>
      <w:r w:rsidR="007D4EC4">
        <w:rPr>
          <w:rFonts w:cs="Times New Roman"/>
          <w:lang w:val="hr-HR"/>
        </w:rPr>
        <w:t>3</w:t>
      </w:r>
      <w:r w:rsidRPr="00F03436">
        <w:rPr>
          <w:rFonts w:cs="Times New Roman"/>
          <w:lang w:val="hr-HR"/>
        </w:rPr>
        <w:t xml:space="preserve"> milijardi eura te ukupno planiranih rashoda u iznosu od </w:t>
      </w:r>
      <w:r w:rsidR="007D4EC4">
        <w:rPr>
          <w:rFonts w:cs="Times New Roman"/>
          <w:lang w:val="hr-HR"/>
        </w:rPr>
        <w:t>33,6</w:t>
      </w:r>
      <w:r w:rsidRPr="00F03436">
        <w:rPr>
          <w:rFonts w:cs="Times New Roman"/>
          <w:lang w:val="hr-HR"/>
        </w:rPr>
        <w:t xml:space="preserve"> milijardi eura, manjak državnog proračuna za 202</w:t>
      </w:r>
      <w:r w:rsidR="007D4EC4">
        <w:rPr>
          <w:rFonts w:cs="Times New Roman"/>
          <w:lang w:val="hr-HR"/>
        </w:rPr>
        <w:t>4</w:t>
      </w:r>
      <w:r w:rsidRPr="00F03436">
        <w:rPr>
          <w:rFonts w:cs="Times New Roman"/>
          <w:lang w:val="hr-HR"/>
        </w:rPr>
        <w:t xml:space="preserve">. godinu planiran je u iznosu od </w:t>
      </w:r>
      <w:r w:rsidR="007D4EC4">
        <w:rPr>
          <w:rFonts w:cs="Times New Roman"/>
          <w:lang w:val="hr-HR"/>
        </w:rPr>
        <w:t>3,3</w:t>
      </w:r>
      <w:r w:rsidRPr="00F03436">
        <w:rPr>
          <w:rFonts w:cs="Times New Roman"/>
          <w:lang w:val="hr-HR"/>
        </w:rPr>
        <w:t xml:space="preserve"> milijardi eura ili </w:t>
      </w:r>
      <w:r w:rsidR="007D4EC4">
        <w:rPr>
          <w:rFonts w:cs="Times New Roman"/>
          <w:lang w:val="hr-HR"/>
        </w:rPr>
        <w:t>3,9</w:t>
      </w:r>
      <w:r w:rsidRPr="00F03436">
        <w:rPr>
          <w:rFonts w:cs="Times New Roman"/>
          <w:lang w:val="hr-HR"/>
        </w:rPr>
        <w:t xml:space="preserve">% BDP-a, što predstavlja </w:t>
      </w:r>
      <w:r w:rsidR="007D4EC4">
        <w:rPr>
          <w:rFonts w:cs="Times New Roman"/>
          <w:lang w:val="hr-HR"/>
        </w:rPr>
        <w:t xml:space="preserve">smanjenje manjka </w:t>
      </w:r>
      <w:r w:rsidRPr="00F03436">
        <w:rPr>
          <w:rFonts w:cs="Times New Roman"/>
          <w:lang w:val="hr-HR"/>
        </w:rPr>
        <w:t xml:space="preserve">od </w:t>
      </w:r>
      <w:r w:rsidR="007D4EC4">
        <w:rPr>
          <w:rFonts w:cs="Times New Roman"/>
          <w:lang w:val="hr-HR"/>
        </w:rPr>
        <w:t>8</w:t>
      </w:r>
      <w:r w:rsidR="002D5B5F">
        <w:rPr>
          <w:rFonts w:cs="Times New Roman"/>
          <w:lang w:val="hr-HR"/>
        </w:rPr>
        <w:t>38</w:t>
      </w:r>
      <w:r w:rsidR="005432B2">
        <w:rPr>
          <w:rFonts w:cs="Times New Roman"/>
          <w:lang w:val="hr-HR"/>
        </w:rPr>
        <w:t xml:space="preserve"> milijuna eura</w:t>
      </w:r>
      <w:r w:rsidRPr="00F03436">
        <w:rPr>
          <w:rFonts w:cs="Times New Roman"/>
          <w:lang w:val="hr-HR"/>
        </w:rPr>
        <w:t xml:space="preserve"> u odnosu na originalni plan.</w:t>
      </w:r>
    </w:p>
    <w:p w:rsidR="00796C59" w:rsidRPr="003B24C8" w:rsidRDefault="00796C59" w:rsidP="006E0462">
      <w:pPr>
        <w:pStyle w:val="Caption"/>
        <w:spacing w:before="240" w:after="120"/>
        <w:jc w:val="both"/>
        <w:rPr>
          <w:rFonts w:asciiTheme="minorHAnsi" w:hAnsiTheme="minorHAnsi"/>
          <w:b w:val="0"/>
          <w:i/>
          <w:sz w:val="22"/>
          <w:szCs w:val="22"/>
        </w:rPr>
      </w:pPr>
      <w:r w:rsidRPr="003B24C8">
        <w:rPr>
          <w:rFonts w:asciiTheme="minorHAnsi" w:hAnsiTheme="minorHAnsi"/>
          <w:b w:val="0"/>
          <w:i/>
          <w:sz w:val="22"/>
          <w:szCs w:val="22"/>
        </w:rPr>
        <w:t xml:space="preserve">Tablica </w:t>
      </w:r>
      <w:r w:rsidR="00F03484">
        <w:rPr>
          <w:rFonts w:asciiTheme="minorHAnsi" w:hAnsiTheme="minorHAnsi"/>
          <w:b w:val="0"/>
          <w:i/>
          <w:sz w:val="22"/>
          <w:szCs w:val="22"/>
        </w:rPr>
        <w:t>6</w:t>
      </w:r>
      <w:r w:rsidRPr="003B24C8">
        <w:rPr>
          <w:rFonts w:asciiTheme="minorHAnsi" w:hAnsiTheme="minorHAnsi"/>
          <w:b w:val="0"/>
          <w:i/>
          <w:sz w:val="22"/>
          <w:szCs w:val="22"/>
        </w:rPr>
        <w:t>. Ukupni manjak državnog proračuna</w:t>
      </w:r>
    </w:p>
    <w:p w:rsidR="0006121D" w:rsidRPr="003B24C8" w:rsidRDefault="00B4019E" w:rsidP="0006121D">
      <w:pPr>
        <w:spacing w:after="0"/>
        <w:rPr>
          <w:noProof/>
          <w:lang w:val="hr-HR" w:eastAsia="hr-HR"/>
        </w:rPr>
      </w:pPr>
      <w:r w:rsidRPr="00B4019E">
        <w:rPr>
          <w:noProof/>
          <w:lang w:val="hr-HR" w:eastAsia="hr-HR"/>
        </w:rPr>
        <w:drawing>
          <wp:inline distT="0" distB="0" distL="0" distR="0">
            <wp:extent cx="6176882" cy="1880006"/>
            <wp:effectExtent l="0" t="0" r="0" b="635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83675" cy="1882073"/>
                    </a:xfrm>
                    <a:prstGeom prst="rect">
                      <a:avLst/>
                    </a:prstGeom>
                    <a:noFill/>
                    <a:ln>
                      <a:noFill/>
                    </a:ln>
                  </pic:spPr>
                </pic:pic>
              </a:graphicData>
            </a:graphic>
          </wp:inline>
        </w:drawing>
      </w:r>
    </w:p>
    <w:p w:rsidR="00462EC5" w:rsidRDefault="00462EC5" w:rsidP="006E0462">
      <w:pPr>
        <w:jc w:val="both"/>
        <w:rPr>
          <w:rFonts w:cs="Times New Roman"/>
          <w:i/>
          <w:color w:val="000000"/>
          <w:lang w:val="hr-HR"/>
        </w:rPr>
      </w:pPr>
      <w:r w:rsidRPr="003B24C8">
        <w:rPr>
          <w:rFonts w:cs="Times New Roman"/>
          <w:i/>
          <w:color w:val="000000"/>
          <w:lang w:val="hr-HR"/>
        </w:rPr>
        <w:t>Izvor: Ministarstvo financija</w:t>
      </w:r>
    </w:p>
    <w:p w:rsidR="007D3532" w:rsidRDefault="007D3532" w:rsidP="006E0462">
      <w:pPr>
        <w:jc w:val="both"/>
        <w:rPr>
          <w:rFonts w:cs="Times New Roman"/>
          <w:i/>
          <w:color w:val="000000"/>
          <w:lang w:val="hr-HR"/>
        </w:rPr>
      </w:pPr>
    </w:p>
    <w:p w:rsidR="007D3532" w:rsidRPr="009B5CBF" w:rsidRDefault="007D3532" w:rsidP="006E0462">
      <w:pPr>
        <w:jc w:val="both"/>
        <w:rPr>
          <w:rFonts w:cs="Times New Roman"/>
          <w:i/>
          <w:color w:val="000000"/>
          <w:lang w:val="hr-HR"/>
        </w:rPr>
      </w:pPr>
    </w:p>
    <w:p w:rsidR="00A461B3" w:rsidRPr="006C489E" w:rsidRDefault="00462EC5" w:rsidP="00A461B3">
      <w:pPr>
        <w:rPr>
          <w:lang w:val="hr-HR"/>
        </w:rPr>
      </w:pPr>
      <w:r w:rsidRPr="009B5CBF">
        <w:rPr>
          <w:lang w:val="hr-HR"/>
        </w:rPr>
        <w:br w:type="page"/>
      </w:r>
    </w:p>
    <w:p w:rsidR="00DC5CAF" w:rsidRPr="003B7E82" w:rsidRDefault="00DC5CAF" w:rsidP="00462EC5">
      <w:pPr>
        <w:pStyle w:val="Heading1"/>
        <w:numPr>
          <w:ilvl w:val="0"/>
          <w:numId w:val="1"/>
        </w:numPr>
        <w:rPr>
          <w:lang w:val="hr-HR"/>
        </w:rPr>
      </w:pPr>
      <w:bookmarkStart w:id="18" w:name="_Toc178762838"/>
      <w:r w:rsidRPr="003B7E82">
        <w:rPr>
          <w:lang w:val="hr-HR"/>
        </w:rPr>
        <w:lastRenderedPageBreak/>
        <w:t>RAČUN FINANCIRANJA DRŽAVNOG PRORAČUNA</w:t>
      </w:r>
      <w:bookmarkEnd w:id="18"/>
    </w:p>
    <w:p w:rsidR="00B6674E" w:rsidRPr="00F62D8E" w:rsidRDefault="00B6674E" w:rsidP="00AF233C">
      <w:pPr>
        <w:rPr>
          <w:highlight w:val="yellow"/>
          <w:lang w:val="hr-HR"/>
        </w:rPr>
      </w:pPr>
    </w:p>
    <w:p w:rsidR="004D7F5F" w:rsidRPr="004D7F5F" w:rsidRDefault="004D7F5F" w:rsidP="004D7F5F">
      <w:pPr>
        <w:jc w:val="both"/>
        <w:rPr>
          <w:rFonts w:cstheme="minorHAnsi"/>
          <w:lang w:val="hr-HR"/>
        </w:rPr>
      </w:pPr>
      <w:r w:rsidRPr="004D7F5F">
        <w:rPr>
          <w:rFonts w:cstheme="minorHAnsi"/>
          <w:lang w:val="hr-HR"/>
        </w:rPr>
        <w:t>U Izmjenama i dopunama Državnog proračuna Republike Hrvatske za 2024. godinu i projekcijama za 2025. i 2026. godinu planiran je manjak državnog proračuna u iznosu od 3,3 milijarde eura, što je za 838,2 milijuna eura manje u odnosu na iznos manjka planiran u Državnom proračun</w:t>
      </w:r>
      <w:r>
        <w:rPr>
          <w:rFonts w:cstheme="minorHAnsi"/>
          <w:lang w:val="hr-HR"/>
        </w:rPr>
        <w:t>u</w:t>
      </w:r>
      <w:r w:rsidRPr="004D7F5F">
        <w:rPr>
          <w:rFonts w:cstheme="minorHAnsi"/>
          <w:lang w:val="hr-HR"/>
        </w:rPr>
        <w:t xml:space="preserve"> Republike Hrvatske za 2024. godinu i projekcijama za 2025. i 2026. godinu. Planirani manjak financirat će se razlikom ukupnih primitaka od financijske imovine i zaduživanja te ukupnih izdataka za financijsku imovinu i otplate zajmova te prenesenih sredstava iz prethodne godine. Pritom su ukupni primici od financijske imovine i zaduživanja planirani u iznosu od 6,5 milijardi eura, dok su ukupni izdaci za financijsku imovinu i otplate zajmova planirani u iznosu od 4,5 milijarde eura. </w:t>
      </w:r>
    </w:p>
    <w:p w:rsidR="004D7F5F" w:rsidRPr="004D7F5F" w:rsidRDefault="004D7F5F" w:rsidP="004D7F5F">
      <w:pPr>
        <w:jc w:val="both"/>
        <w:rPr>
          <w:rFonts w:cstheme="minorHAnsi"/>
          <w:lang w:val="hr-HR"/>
        </w:rPr>
      </w:pPr>
      <w:r w:rsidRPr="004D7F5F">
        <w:rPr>
          <w:rFonts w:cstheme="minorHAnsi"/>
          <w:lang w:val="hr-HR"/>
        </w:rPr>
        <w:t>Ukupni primici od financijske imovine i zaduživanja planiraju se u iznosu od 6,5 milijardi eura, od čega primljeni povrati glavnica danih zajmova i depozita iznose 680,1 milijuna eura, primici od izdanih vrijednosnih papira 4,1 milijardu eura, primici od prodaje dionica i udjela u glavnici 16,2 milijuna eura te primici od zaduživanja 1,8 milijarde eura.</w:t>
      </w:r>
    </w:p>
    <w:p w:rsidR="004D7F5F" w:rsidRPr="004D7F5F" w:rsidRDefault="004D7F5F" w:rsidP="004D7F5F">
      <w:pPr>
        <w:jc w:val="both"/>
        <w:rPr>
          <w:rFonts w:cstheme="minorHAnsi"/>
          <w:lang w:val="hr-HR"/>
        </w:rPr>
      </w:pPr>
      <w:r w:rsidRPr="004D7F5F">
        <w:rPr>
          <w:rFonts w:cstheme="minorHAnsi"/>
          <w:lang w:val="hr-HR"/>
        </w:rPr>
        <w:t xml:space="preserve">Plan ukupnih primitaka od financijske imovine i zaduživanja smanjuje se za 1,6 milijardi eura u odnosu na Državni proračun Republike Hrvatske za 2024. godinu i projekcije za 2025. i 2026. godinu. Navedeno je rezultat smanjenja plana primitaka od izdanih vrijednosnih papira u iznosu od 1,4 milijarde eura te smanjenja primitaka od zaduživanja u iznosu od 770,9 milijuna eura uz istovremeno povećanje primitaka od primljenih povrata glavnica danih zajmova i depozita u iznosu od 553,4 milijuna eura te primitaka od prodaje dionica i udjela u glavnici u iznosu od 6,2 milijuna eura. </w:t>
      </w:r>
    </w:p>
    <w:p w:rsidR="004D7F5F" w:rsidRPr="004D7F5F" w:rsidRDefault="004D7F5F" w:rsidP="004D7F5F">
      <w:pPr>
        <w:jc w:val="both"/>
        <w:rPr>
          <w:rFonts w:cstheme="minorHAnsi"/>
          <w:lang w:val="hr-HR"/>
        </w:rPr>
      </w:pPr>
      <w:r w:rsidRPr="004D7F5F">
        <w:rPr>
          <w:rFonts w:cstheme="minorHAnsi"/>
          <w:lang w:val="hr-HR"/>
        </w:rPr>
        <w:t>Ukupni izdaci za financijsku imovinu i otplate zajmova planirani su u iznosu 4,5 milijardi eura, od čega su izdaci za dane zajmove i depozite planirani u iznosu od 426,4 milijuna eura, izdaci za dionice i udjele u glavnici u iznosu od 161,8 milijuna eura, izdaci za otplatu primljenih kredita i zajmova u iznosu od 775,6 milijuna eura te izdaci za otplatu glavnice za izdane vrijednosne papire u iznosu od 3,2 milijarde eura. Plan ukupnih izdataka za financijsku imovinu i otplate zajmova povećava se za 2,9 milijuna eura što je rezultat povećanja planiranih izdataka za dane zajmove i depozite u iznosu od 10,5 milijuna eura i izdataka za otplatu glavnice primljenih kredita i zajmova u iznosu od 1,2 milijuna eura uz istovremeno smanjenje izdataka za dionice i udjele u glavnici u iznosu od 8,8 milijuna eura.</w:t>
      </w:r>
    </w:p>
    <w:p w:rsidR="00CD2526" w:rsidRPr="002A645F" w:rsidRDefault="004D7F5F" w:rsidP="004D7F5F">
      <w:pPr>
        <w:jc w:val="both"/>
        <w:rPr>
          <w:rFonts w:cstheme="minorHAnsi"/>
          <w:lang w:val="hr-HR"/>
        </w:rPr>
      </w:pPr>
      <w:r w:rsidRPr="004D7F5F">
        <w:rPr>
          <w:rFonts w:cstheme="minorHAnsi"/>
          <w:lang w:val="hr-HR"/>
        </w:rPr>
        <w:t>Zatvarajuća stavka između ukupnih primitaka od financijske imovine i zaduživanja, ukupnih izdataka za financijsku imovinu i otplate zajmova te ukupnog manjka državnog proračuna jest razlika između prijenosa sredstava iz prethodne godine i prijenosa sredstava u sljedeću godinu.</w:t>
      </w:r>
    </w:p>
    <w:p w:rsidR="00967A84" w:rsidRDefault="00967A84" w:rsidP="00B6674E">
      <w:pPr>
        <w:pStyle w:val="Caption"/>
        <w:spacing w:before="240" w:after="120"/>
        <w:jc w:val="both"/>
        <w:rPr>
          <w:rFonts w:asciiTheme="minorHAnsi" w:hAnsiTheme="minorHAnsi" w:cstheme="minorHAnsi"/>
          <w:b w:val="0"/>
          <w:i/>
          <w:sz w:val="22"/>
          <w:szCs w:val="22"/>
          <w:highlight w:val="yellow"/>
        </w:rPr>
      </w:pPr>
    </w:p>
    <w:p w:rsidR="00967A84" w:rsidRDefault="00967A84" w:rsidP="00B6674E">
      <w:pPr>
        <w:pStyle w:val="Caption"/>
        <w:spacing w:before="240" w:after="120"/>
        <w:jc w:val="both"/>
        <w:rPr>
          <w:rFonts w:asciiTheme="minorHAnsi" w:hAnsiTheme="minorHAnsi" w:cstheme="minorHAnsi"/>
          <w:b w:val="0"/>
          <w:i/>
          <w:sz w:val="22"/>
          <w:szCs w:val="22"/>
        </w:rPr>
      </w:pPr>
    </w:p>
    <w:p w:rsidR="00967A84" w:rsidRDefault="00967A84" w:rsidP="00B6674E">
      <w:pPr>
        <w:pStyle w:val="Caption"/>
        <w:spacing w:before="240" w:after="120"/>
        <w:jc w:val="both"/>
        <w:rPr>
          <w:rFonts w:asciiTheme="minorHAnsi" w:hAnsiTheme="minorHAnsi" w:cstheme="minorHAnsi"/>
          <w:b w:val="0"/>
          <w:i/>
          <w:sz w:val="22"/>
          <w:szCs w:val="22"/>
        </w:rPr>
      </w:pPr>
    </w:p>
    <w:p w:rsidR="00CD2526" w:rsidRDefault="00CD2526" w:rsidP="00B6674E">
      <w:pPr>
        <w:pStyle w:val="Caption"/>
        <w:spacing w:before="240" w:after="120"/>
        <w:jc w:val="both"/>
        <w:rPr>
          <w:rFonts w:asciiTheme="minorHAnsi" w:hAnsiTheme="minorHAnsi" w:cstheme="minorHAnsi"/>
          <w:b w:val="0"/>
          <w:i/>
          <w:sz w:val="22"/>
          <w:szCs w:val="22"/>
        </w:rPr>
      </w:pPr>
    </w:p>
    <w:p w:rsidR="004D7F5F" w:rsidRDefault="004D7F5F" w:rsidP="004D7F5F">
      <w:pPr>
        <w:rPr>
          <w:lang w:val="hr-HR"/>
        </w:rPr>
      </w:pPr>
    </w:p>
    <w:p w:rsidR="004D7F5F" w:rsidRPr="004D7F5F" w:rsidRDefault="004D7F5F" w:rsidP="004D7F5F">
      <w:pPr>
        <w:rPr>
          <w:lang w:val="hr-HR"/>
        </w:rPr>
      </w:pPr>
    </w:p>
    <w:p w:rsidR="00B6674E" w:rsidRPr="00C95CFE" w:rsidRDefault="00F03484" w:rsidP="00B6674E">
      <w:pPr>
        <w:pStyle w:val="Caption"/>
        <w:spacing w:before="240" w:after="120"/>
        <w:jc w:val="both"/>
        <w:rPr>
          <w:rFonts w:asciiTheme="minorHAnsi" w:hAnsiTheme="minorHAnsi" w:cstheme="minorHAnsi"/>
          <w:b w:val="0"/>
          <w:i/>
          <w:sz w:val="22"/>
          <w:szCs w:val="22"/>
        </w:rPr>
      </w:pPr>
      <w:r>
        <w:rPr>
          <w:rFonts w:asciiTheme="minorHAnsi" w:hAnsiTheme="minorHAnsi" w:cstheme="minorHAnsi"/>
          <w:b w:val="0"/>
          <w:i/>
          <w:sz w:val="22"/>
          <w:szCs w:val="22"/>
        </w:rPr>
        <w:lastRenderedPageBreak/>
        <w:t>Tablica 7</w:t>
      </w:r>
      <w:r w:rsidR="00B6674E" w:rsidRPr="00C95CFE">
        <w:rPr>
          <w:rFonts w:asciiTheme="minorHAnsi" w:hAnsiTheme="minorHAnsi" w:cstheme="minorHAnsi"/>
          <w:b w:val="0"/>
          <w:i/>
          <w:sz w:val="22"/>
          <w:szCs w:val="22"/>
        </w:rPr>
        <w:t>. Ukupni prihodi, rashodi i financiranje državnog proračuna</w:t>
      </w:r>
    </w:p>
    <w:p w:rsidR="00B6674E" w:rsidRPr="00C95CFE" w:rsidRDefault="004D7F5F" w:rsidP="002D1818">
      <w:pPr>
        <w:spacing w:after="120"/>
        <w:rPr>
          <w:rFonts w:cstheme="minorHAnsi"/>
          <w:lang w:val="hr-HR"/>
        </w:rPr>
      </w:pPr>
      <w:r w:rsidRPr="00624191">
        <w:rPr>
          <w:noProof/>
          <w:lang w:val="hr-HR" w:eastAsia="hr-HR"/>
        </w:rPr>
        <w:drawing>
          <wp:inline distT="0" distB="0" distL="0" distR="0" wp14:anchorId="3C5D32DB" wp14:editId="5E74D6AB">
            <wp:extent cx="5760720" cy="233108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331085"/>
                    </a:xfrm>
                    <a:prstGeom prst="rect">
                      <a:avLst/>
                    </a:prstGeom>
                    <a:noFill/>
                    <a:ln>
                      <a:noFill/>
                    </a:ln>
                  </pic:spPr>
                </pic:pic>
              </a:graphicData>
            </a:graphic>
          </wp:inline>
        </w:drawing>
      </w:r>
    </w:p>
    <w:p w:rsidR="00B6674E" w:rsidRPr="00B6674E" w:rsidRDefault="00B6674E" w:rsidP="00B6674E">
      <w:pPr>
        <w:jc w:val="both"/>
        <w:rPr>
          <w:rFonts w:cstheme="minorHAnsi"/>
          <w:i/>
          <w:lang w:val="hr-HR"/>
        </w:rPr>
      </w:pPr>
      <w:r w:rsidRPr="00C95CFE">
        <w:rPr>
          <w:rFonts w:cstheme="minorHAnsi"/>
          <w:i/>
          <w:lang w:val="hr-HR"/>
        </w:rPr>
        <w:t>Izvor: Ministarstvo financija</w:t>
      </w:r>
    </w:p>
    <w:p w:rsidR="00F6029A" w:rsidRDefault="00F6029A">
      <w:pPr>
        <w:rPr>
          <w:rFonts w:asciiTheme="majorHAnsi" w:eastAsiaTheme="majorEastAsia" w:hAnsiTheme="majorHAnsi" w:cstheme="majorBidi"/>
          <w:b/>
          <w:bCs/>
          <w:color w:val="365F91" w:themeColor="accent1" w:themeShade="BF"/>
          <w:sz w:val="28"/>
          <w:szCs w:val="28"/>
          <w:lang w:val="hr-HR"/>
        </w:rPr>
      </w:pPr>
      <w:r>
        <w:rPr>
          <w:lang w:val="hr-HR"/>
        </w:rPr>
        <w:br w:type="page"/>
      </w:r>
    </w:p>
    <w:p w:rsidR="00025948" w:rsidRPr="009B5CBF" w:rsidRDefault="00025948" w:rsidP="00462EC5">
      <w:pPr>
        <w:pStyle w:val="Heading1"/>
        <w:numPr>
          <w:ilvl w:val="0"/>
          <w:numId w:val="1"/>
        </w:numPr>
        <w:rPr>
          <w:lang w:val="hr-HR"/>
        </w:rPr>
      </w:pPr>
      <w:bookmarkStart w:id="19" w:name="_Toc178762839"/>
      <w:r w:rsidRPr="009B5CBF">
        <w:rPr>
          <w:lang w:val="hr-HR"/>
        </w:rPr>
        <w:lastRenderedPageBreak/>
        <w:t>PROCJENA UKUPNOG MANJKA PRORAČUNA OPĆE DRŽAVE</w:t>
      </w:r>
      <w:bookmarkEnd w:id="19"/>
      <w:r w:rsidRPr="009B5CBF">
        <w:rPr>
          <w:lang w:val="hr-HR"/>
        </w:rPr>
        <w:t xml:space="preserve"> </w:t>
      </w:r>
    </w:p>
    <w:p w:rsidR="001628CF" w:rsidRDefault="001628CF" w:rsidP="00025948">
      <w:pPr>
        <w:jc w:val="both"/>
        <w:rPr>
          <w:rFonts w:cs="Times New Roman"/>
          <w:lang w:val="hr-HR"/>
        </w:rPr>
      </w:pPr>
    </w:p>
    <w:p w:rsidR="003955B2" w:rsidRPr="003955B2" w:rsidRDefault="003955B2" w:rsidP="003955B2">
      <w:pPr>
        <w:jc w:val="both"/>
        <w:rPr>
          <w:rFonts w:cs="Times New Roman"/>
          <w:lang w:val="hr-HR"/>
        </w:rPr>
      </w:pPr>
      <w:r w:rsidRPr="003955B2">
        <w:rPr>
          <w:rFonts w:cs="Times New Roman"/>
          <w:lang w:val="hr-HR"/>
        </w:rPr>
        <w:t>Novim planom u 202</w:t>
      </w:r>
      <w:r w:rsidR="005E6607">
        <w:rPr>
          <w:rFonts w:cs="Times New Roman"/>
          <w:lang w:val="hr-HR"/>
        </w:rPr>
        <w:t>4</w:t>
      </w:r>
      <w:r w:rsidRPr="003955B2">
        <w:rPr>
          <w:rFonts w:cs="Times New Roman"/>
          <w:lang w:val="hr-HR"/>
        </w:rPr>
        <w:t xml:space="preserve">. godini opći proračun prema nacionalnoj metodologiji ostvaruje manjak od </w:t>
      </w:r>
      <w:r w:rsidR="005E6607">
        <w:rPr>
          <w:rFonts w:cs="Times New Roman"/>
          <w:lang w:val="hr-HR"/>
        </w:rPr>
        <w:t>2,9</w:t>
      </w:r>
      <w:r w:rsidRPr="003955B2">
        <w:rPr>
          <w:rFonts w:cs="Times New Roman"/>
          <w:lang w:val="hr-HR"/>
        </w:rPr>
        <w:t xml:space="preserve"> milijard</w:t>
      </w:r>
      <w:r w:rsidR="005E6607">
        <w:rPr>
          <w:rFonts w:cs="Times New Roman"/>
          <w:lang w:val="hr-HR"/>
        </w:rPr>
        <w:t>i</w:t>
      </w:r>
      <w:r w:rsidRPr="003955B2">
        <w:rPr>
          <w:rFonts w:cs="Times New Roman"/>
          <w:lang w:val="hr-HR"/>
        </w:rPr>
        <w:t xml:space="preserve"> eura, što predstavlja </w:t>
      </w:r>
      <w:r w:rsidR="005E6607">
        <w:rPr>
          <w:rFonts w:cs="Times New Roman"/>
          <w:lang w:val="hr-HR"/>
        </w:rPr>
        <w:t>3,5</w:t>
      </w:r>
      <w:r w:rsidRPr="003955B2">
        <w:rPr>
          <w:rFonts w:cs="Times New Roman"/>
          <w:lang w:val="hr-HR"/>
        </w:rPr>
        <w:t xml:space="preserve">% BDP-a. Pritom državni proračun bilježi razinu manjka od </w:t>
      </w:r>
      <w:r w:rsidR="005E6607">
        <w:rPr>
          <w:rFonts w:cs="Times New Roman"/>
          <w:lang w:val="hr-HR"/>
        </w:rPr>
        <w:t>3,9</w:t>
      </w:r>
      <w:r w:rsidR="005A3FA6">
        <w:rPr>
          <w:rFonts w:cs="Times New Roman"/>
          <w:lang w:val="hr-HR"/>
        </w:rPr>
        <w:t xml:space="preserve">% BDP-a. Izvanproračunski korisnici i </w:t>
      </w:r>
      <w:r w:rsidRPr="003955B2">
        <w:rPr>
          <w:rFonts w:cs="Times New Roman"/>
          <w:lang w:val="hr-HR"/>
        </w:rPr>
        <w:t>jedinice lokalne i područne (regionalne) samouprave ostvaruju višak od 0,</w:t>
      </w:r>
      <w:r w:rsidR="005E6607">
        <w:rPr>
          <w:rFonts w:cs="Times New Roman"/>
          <w:lang w:val="hr-HR"/>
        </w:rPr>
        <w:t>03</w:t>
      </w:r>
      <w:r w:rsidRPr="003955B2">
        <w:rPr>
          <w:rFonts w:cs="Times New Roman"/>
          <w:lang w:val="hr-HR"/>
        </w:rPr>
        <w:t>% BDP-a</w:t>
      </w:r>
      <w:r w:rsidR="005E6607">
        <w:rPr>
          <w:rFonts w:cs="Times New Roman"/>
          <w:lang w:val="hr-HR"/>
        </w:rPr>
        <w:t>, odnosno 0,4% BDP-a</w:t>
      </w:r>
      <w:r w:rsidRPr="003955B2">
        <w:rPr>
          <w:rFonts w:cs="Times New Roman"/>
          <w:lang w:val="hr-HR"/>
        </w:rPr>
        <w:t xml:space="preserve">. </w:t>
      </w:r>
    </w:p>
    <w:p w:rsidR="006E0462" w:rsidRPr="007B5B19" w:rsidRDefault="006E0462" w:rsidP="00817E42">
      <w:pPr>
        <w:spacing w:after="120"/>
        <w:jc w:val="both"/>
        <w:rPr>
          <w:rFonts w:cs="Times New Roman"/>
          <w:lang w:val="hr-HR"/>
        </w:rPr>
      </w:pPr>
      <w:r w:rsidRPr="00515E82">
        <w:rPr>
          <w:i/>
        </w:rPr>
        <w:t>Tablica</w:t>
      </w:r>
      <w:r w:rsidR="00F03484">
        <w:rPr>
          <w:i/>
        </w:rPr>
        <w:t xml:space="preserve"> 8</w:t>
      </w:r>
      <w:r w:rsidRPr="00515E82">
        <w:rPr>
          <w:i/>
        </w:rPr>
        <w:t>. Procjena ukupnog manjka/viška proračuna opće države</w:t>
      </w:r>
    </w:p>
    <w:p w:rsidR="001F2B62" w:rsidRPr="001F2B62" w:rsidRDefault="00DC591A" w:rsidP="006E0462">
      <w:pPr>
        <w:spacing w:after="0"/>
        <w:rPr>
          <w:lang w:val="hr-HR"/>
        </w:rPr>
      </w:pPr>
      <w:r w:rsidRPr="00DC591A">
        <w:rPr>
          <w:noProof/>
          <w:lang w:val="hr-HR" w:eastAsia="hr-HR"/>
        </w:rPr>
        <w:drawing>
          <wp:inline distT="0" distB="0" distL="0" distR="0">
            <wp:extent cx="5383987" cy="5491212"/>
            <wp:effectExtent l="0" t="0" r="762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354" cy="5507905"/>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B174AC" w:rsidRDefault="003955B2" w:rsidP="003955B2">
      <w:pPr>
        <w:spacing w:after="120"/>
        <w:jc w:val="both"/>
        <w:rPr>
          <w:rFonts w:ascii="Calibri" w:hAnsi="Calibri"/>
          <w:lang w:val="hr-HR"/>
        </w:rPr>
      </w:pPr>
      <w:r w:rsidRPr="000416D7">
        <w:rPr>
          <w:rFonts w:ascii="Calibri" w:hAnsi="Calibri"/>
          <w:lang w:val="hr-HR"/>
        </w:rPr>
        <w:t>Kada se ovim veličinama pridodaju prilagodbe nacionalne metodologije računskog plana europskoj statističkoj metodologiji ESA 2010 te projekcije ostalih pravnih osoba koje su statistički uključene u sektor opće države, procjenjuje se kako će pla</w:t>
      </w:r>
      <w:r>
        <w:rPr>
          <w:rFonts w:ascii="Calibri" w:hAnsi="Calibri"/>
          <w:lang w:val="hr-HR"/>
        </w:rPr>
        <w:t>nirani manjak opće</w:t>
      </w:r>
      <w:r w:rsidRPr="000416D7">
        <w:rPr>
          <w:rFonts w:ascii="Calibri" w:hAnsi="Calibri"/>
          <w:lang w:val="hr-HR"/>
        </w:rPr>
        <w:t xml:space="preserve"> </w:t>
      </w:r>
      <w:r>
        <w:rPr>
          <w:rFonts w:ascii="Calibri" w:hAnsi="Calibri"/>
          <w:lang w:val="hr-HR"/>
        </w:rPr>
        <w:t>države u 202</w:t>
      </w:r>
      <w:r w:rsidR="001B136F">
        <w:rPr>
          <w:rFonts w:ascii="Calibri" w:hAnsi="Calibri"/>
          <w:lang w:val="hr-HR"/>
        </w:rPr>
        <w:t>4</w:t>
      </w:r>
      <w:r w:rsidRPr="000416D7">
        <w:rPr>
          <w:rFonts w:ascii="Calibri" w:hAnsi="Calibri"/>
          <w:lang w:val="hr-HR"/>
        </w:rPr>
        <w:t xml:space="preserve">. godini iznositi </w:t>
      </w:r>
      <w:r w:rsidR="001B136F">
        <w:rPr>
          <w:rFonts w:ascii="Calibri" w:hAnsi="Calibri"/>
          <w:lang w:val="hr-HR"/>
        </w:rPr>
        <w:t>2,2</w:t>
      </w:r>
      <w:r w:rsidR="002447E3">
        <w:rPr>
          <w:rFonts w:ascii="Calibri" w:hAnsi="Calibri"/>
          <w:lang w:val="hr-HR"/>
        </w:rPr>
        <w:t xml:space="preserve"> </w:t>
      </w:r>
      <w:r w:rsidRPr="000416D7">
        <w:rPr>
          <w:rFonts w:ascii="Calibri" w:hAnsi="Calibri"/>
          <w:lang w:val="hr-HR"/>
        </w:rPr>
        <w:t>milij</w:t>
      </w:r>
      <w:r w:rsidR="001B136F">
        <w:rPr>
          <w:rFonts w:ascii="Calibri" w:hAnsi="Calibri"/>
          <w:lang w:val="hr-HR"/>
        </w:rPr>
        <w:t>arde</w:t>
      </w:r>
      <w:r w:rsidRPr="000416D7">
        <w:rPr>
          <w:rFonts w:ascii="Calibri" w:hAnsi="Calibri"/>
          <w:lang w:val="hr-HR"/>
        </w:rPr>
        <w:t xml:space="preserve"> eura ili </w:t>
      </w:r>
      <w:r w:rsidR="001B136F">
        <w:rPr>
          <w:rFonts w:ascii="Calibri" w:hAnsi="Calibri"/>
          <w:lang w:val="hr-HR"/>
        </w:rPr>
        <w:t>2,6</w:t>
      </w:r>
      <w:r w:rsidRPr="000416D7">
        <w:rPr>
          <w:rFonts w:ascii="Calibri" w:hAnsi="Calibri"/>
          <w:lang w:val="hr-HR"/>
        </w:rPr>
        <w:t>% BDP-a.</w:t>
      </w:r>
    </w:p>
    <w:p w:rsidR="00B1290A" w:rsidRDefault="00B1290A" w:rsidP="00023A60">
      <w:pPr>
        <w:spacing w:after="120"/>
        <w:jc w:val="both"/>
        <w:rPr>
          <w:rFonts w:ascii="Calibri" w:hAnsi="Calibri"/>
          <w:lang w:val="hr-HR"/>
        </w:rPr>
      </w:pPr>
    </w:p>
    <w:p w:rsidR="00C11AED" w:rsidRDefault="00C11AED" w:rsidP="00023A60">
      <w:pPr>
        <w:spacing w:after="120"/>
        <w:jc w:val="both"/>
        <w:rPr>
          <w:i/>
          <w:lang w:val="hr-HR"/>
        </w:rPr>
      </w:pPr>
    </w:p>
    <w:p w:rsidR="008564E7" w:rsidRPr="008564E7" w:rsidRDefault="008564E7" w:rsidP="00023A60">
      <w:pPr>
        <w:spacing w:after="120"/>
        <w:jc w:val="both"/>
        <w:rPr>
          <w:i/>
          <w:lang w:val="hr-HR"/>
        </w:rPr>
      </w:pPr>
      <w:r w:rsidRPr="008564E7">
        <w:rPr>
          <w:i/>
          <w:lang w:val="hr-HR"/>
        </w:rPr>
        <w:lastRenderedPageBreak/>
        <w:t xml:space="preserve">Grafikon </w:t>
      </w:r>
      <w:r w:rsidRPr="008564E7">
        <w:rPr>
          <w:i/>
          <w:lang w:val="hr-HR"/>
        </w:rPr>
        <w:fldChar w:fldCharType="begin"/>
      </w:r>
      <w:r w:rsidRPr="008564E7">
        <w:rPr>
          <w:i/>
          <w:lang w:val="hr-HR"/>
        </w:rPr>
        <w:instrText xml:space="preserve"> SEQ Grafikon \* ARABIC </w:instrText>
      </w:r>
      <w:r w:rsidRPr="008564E7">
        <w:rPr>
          <w:i/>
          <w:lang w:val="hr-HR"/>
        </w:rPr>
        <w:fldChar w:fldCharType="separate"/>
      </w:r>
      <w:r w:rsidR="0084467C">
        <w:rPr>
          <w:i/>
          <w:noProof/>
          <w:lang w:val="hr-HR"/>
        </w:rPr>
        <w:t>1</w:t>
      </w:r>
      <w:r w:rsidRPr="008564E7">
        <w:rPr>
          <w:i/>
          <w:lang w:val="hr-HR"/>
        </w:rPr>
        <w:fldChar w:fldCharType="end"/>
      </w:r>
      <w:r w:rsidRPr="008564E7">
        <w:rPr>
          <w:i/>
          <w:lang w:val="hr-HR"/>
        </w:rPr>
        <w:t>: Javni dug u razdoblju 201</w:t>
      </w:r>
      <w:r w:rsidR="00C83380">
        <w:rPr>
          <w:i/>
          <w:lang w:val="hr-HR"/>
        </w:rPr>
        <w:t>8</w:t>
      </w:r>
      <w:r w:rsidRPr="008564E7">
        <w:rPr>
          <w:i/>
          <w:lang w:val="hr-HR"/>
        </w:rPr>
        <w:t>. – 202</w:t>
      </w:r>
      <w:r w:rsidR="00C83380">
        <w:rPr>
          <w:i/>
          <w:lang w:val="hr-HR"/>
        </w:rPr>
        <w:t>4</w:t>
      </w:r>
      <w:r w:rsidRPr="008564E7">
        <w:rPr>
          <w:i/>
          <w:lang w:val="hr-HR"/>
        </w:rPr>
        <w:t>.</w:t>
      </w:r>
    </w:p>
    <w:p w:rsidR="006C7BE6" w:rsidRDefault="006F685B" w:rsidP="009277FC">
      <w:pPr>
        <w:spacing w:after="120"/>
        <w:jc w:val="both"/>
        <w:rPr>
          <w:rFonts w:ascii="Calibri" w:hAnsi="Calibri"/>
          <w:lang w:val="hr-HR"/>
        </w:rPr>
      </w:pPr>
      <w:r>
        <w:rPr>
          <w:rFonts w:ascii="Calibri" w:hAnsi="Calibri"/>
          <w:noProof/>
          <w:lang w:val="hr-HR" w:eastAsia="hr-HR"/>
        </w:rPr>
        <w:drawing>
          <wp:inline distT="0" distB="0" distL="0" distR="0" wp14:anchorId="4CD3C36F">
            <wp:extent cx="5753100" cy="2672222"/>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7016" cy="2683331"/>
                    </a:xfrm>
                    <a:prstGeom prst="rect">
                      <a:avLst/>
                    </a:prstGeom>
                    <a:noFill/>
                  </pic:spPr>
                </pic:pic>
              </a:graphicData>
            </a:graphic>
          </wp:inline>
        </w:drawing>
      </w:r>
    </w:p>
    <w:p w:rsidR="008564E7" w:rsidRPr="008564E7" w:rsidRDefault="008564E7" w:rsidP="008564E7">
      <w:pPr>
        <w:spacing w:after="120"/>
        <w:rPr>
          <w:rFonts w:ascii="Calibri" w:hAnsi="Calibri"/>
          <w:i/>
          <w:sz w:val="20"/>
          <w:szCs w:val="20"/>
          <w:lang w:val="hr-HR"/>
        </w:rPr>
      </w:pPr>
      <w:r w:rsidRPr="008564E7">
        <w:rPr>
          <w:rFonts w:ascii="Calibri" w:hAnsi="Calibri"/>
          <w:i/>
          <w:sz w:val="20"/>
          <w:szCs w:val="20"/>
          <w:lang w:val="hr-HR"/>
        </w:rPr>
        <w:t>Izvor: DZS, HNB, Ministarstvo financija</w:t>
      </w:r>
    </w:p>
    <w:p w:rsidR="008564E7" w:rsidRDefault="008564E7" w:rsidP="009277FC">
      <w:pPr>
        <w:spacing w:after="120"/>
        <w:jc w:val="both"/>
        <w:rPr>
          <w:rFonts w:ascii="Calibri" w:hAnsi="Calibri"/>
          <w:lang w:val="hr-HR"/>
        </w:rPr>
      </w:pPr>
    </w:p>
    <w:p w:rsidR="0095185C" w:rsidRPr="005B125D" w:rsidRDefault="005B125D" w:rsidP="005B125D">
      <w:pPr>
        <w:jc w:val="both"/>
      </w:pPr>
      <w:r w:rsidRPr="00332301">
        <w:rPr>
          <w:lang w:val="hr-HR"/>
        </w:rPr>
        <w:t xml:space="preserve">Nakon </w:t>
      </w:r>
      <w:r w:rsidR="0011352B">
        <w:rPr>
          <w:lang w:val="hr-HR"/>
        </w:rPr>
        <w:t>manjka</w:t>
      </w:r>
      <w:r w:rsidRPr="00332301">
        <w:rPr>
          <w:lang w:val="hr-HR"/>
        </w:rPr>
        <w:t xml:space="preserve"> proračuna opće države </w:t>
      </w:r>
      <w:r w:rsidRPr="003B442E">
        <w:rPr>
          <w:lang w:val="hr-HR"/>
        </w:rPr>
        <w:t>od 0,</w:t>
      </w:r>
      <w:r w:rsidR="0011352B" w:rsidRPr="003B442E">
        <w:rPr>
          <w:lang w:val="hr-HR"/>
        </w:rPr>
        <w:t>7</w:t>
      </w:r>
      <w:r w:rsidRPr="003B442E">
        <w:rPr>
          <w:lang w:val="hr-HR"/>
        </w:rPr>
        <w:t>% BDP-a u 202</w:t>
      </w:r>
      <w:r w:rsidR="0011352B" w:rsidRPr="003B442E">
        <w:rPr>
          <w:lang w:val="hr-HR"/>
        </w:rPr>
        <w:t>3</w:t>
      </w:r>
      <w:r w:rsidRPr="003B442E">
        <w:rPr>
          <w:lang w:val="hr-HR"/>
        </w:rPr>
        <w:t>., fiskalna kretanja u 202</w:t>
      </w:r>
      <w:r w:rsidR="0011352B" w:rsidRPr="003B442E">
        <w:rPr>
          <w:lang w:val="hr-HR"/>
        </w:rPr>
        <w:t>4</w:t>
      </w:r>
      <w:r w:rsidRPr="003B442E">
        <w:rPr>
          <w:lang w:val="hr-HR"/>
        </w:rPr>
        <w:t xml:space="preserve">. rezultirat će proračunskim manjkom od </w:t>
      </w:r>
      <w:r w:rsidR="0011352B" w:rsidRPr="003B442E">
        <w:rPr>
          <w:lang w:val="hr-HR"/>
        </w:rPr>
        <w:t>2,6</w:t>
      </w:r>
      <w:r w:rsidRPr="003B442E">
        <w:rPr>
          <w:lang w:val="hr-HR"/>
        </w:rPr>
        <w:t>% BDP-a, čime je ispunjen kriterij proračunskog manjka sukladno odredbama Pakta o stabilnosti i rastu. Iako</w:t>
      </w:r>
      <w:r w:rsidRPr="00332301">
        <w:rPr>
          <w:lang w:val="hr-HR"/>
        </w:rPr>
        <w:t xml:space="preserve"> su negativne gospodarske posljedice pandemije koronavirusa dovele do visokog rasta</w:t>
      </w:r>
      <w:r w:rsidRPr="00CF03AD">
        <w:rPr>
          <w:lang w:val="hr-HR"/>
        </w:rPr>
        <w:t xml:space="preserve"> javnog duga</w:t>
      </w:r>
      <w:r w:rsidRPr="00606C95">
        <w:rPr>
          <w:lang w:val="hr-HR"/>
        </w:rPr>
        <w:t xml:space="preserve"> </w:t>
      </w:r>
      <w:r w:rsidRPr="00CF03AD">
        <w:rPr>
          <w:lang w:val="hr-HR"/>
        </w:rPr>
        <w:t xml:space="preserve">u 2020., </w:t>
      </w:r>
      <w:r w:rsidR="00A678BE">
        <w:rPr>
          <w:lang w:val="hr-HR"/>
        </w:rPr>
        <w:t>proteklih godina</w:t>
      </w:r>
      <w:r>
        <w:rPr>
          <w:lang w:val="hr-HR"/>
        </w:rPr>
        <w:t xml:space="preserve"> </w:t>
      </w:r>
      <w:r w:rsidRPr="00CF03AD">
        <w:rPr>
          <w:lang w:val="hr-HR"/>
        </w:rPr>
        <w:t xml:space="preserve">navedeni pokazatelj </w:t>
      </w:r>
      <w:r>
        <w:rPr>
          <w:lang w:val="hr-HR"/>
        </w:rPr>
        <w:t xml:space="preserve">bilježi </w:t>
      </w:r>
      <w:r w:rsidRPr="00CF03AD">
        <w:rPr>
          <w:lang w:val="hr-HR"/>
        </w:rPr>
        <w:t>znatno poboljšanje te će se ovaj trend nastaviti i u 202</w:t>
      </w:r>
      <w:r w:rsidR="00A678BE">
        <w:rPr>
          <w:lang w:val="hr-HR"/>
        </w:rPr>
        <w:t>4</w:t>
      </w:r>
      <w:r>
        <w:rPr>
          <w:lang w:val="hr-HR"/>
        </w:rPr>
        <w:t>. godini. Naime,</w:t>
      </w:r>
      <w:r w:rsidRPr="00AE62BB">
        <w:rPr>
          <w:lang w:val="hr-HR"/>
        </w:rPr>
        <w:t xml:space="preserve"> </w:t>
      </w:r>
      <w:r w:rsidRPr="00C97D4F">
        <w:rPr>
          <w:lang w:val="hr-HR"/>
        </w:rPr>
        <w:t xml:space="preserve">očekuje se da će udio javnog duga u BDP-u u </w:t>
      </w:r>
      <w:r>
        <w:rPr>
          <w:lang w:val="hr-HR"/>
        </w:rPr>
        <w:t xml:space="preserve">ovoj </w:t>
      </w:r>
      <w:r w:rsidRPr="00C97D4F">
        <w:rPr>
          <w:lang w:val="hr-HR"/>
        </w:rPr>
        <w:t xml:space="preserve">godini zabilježiti smanjenje za </w:t>
      </w:r>
      <w:r w:rsidR="00FB44B1">
        <w:rPr>
          <w:lang w:val="hr-HR"/>
        </w:rPr>
        <w:t>4,</w:t>
      </w:r>
      <w:r w:rsidR="006F685B">
        <w:rPr>
          <w:lang w:val="hr-HR"/>
        </w:rPr>
        <w:t>2</w:t>
      </w:r>
      <w:r w:rsidRPr="00C97D4F">
        <w:rPr>
          <w:lang w:val="hr-HR"/>
        </w:rPr>
        <w:t xml:space="preserve"> postotn</w:t>
      </w:r>
      <w:r w:rsidR="006F685B">
        <w:rPr>
          <w:lang w:val="hr-HR"/>
        </w:rPr>
        <w:t>a</w:t>
      </w:r>
      <w:r w:rsidRPr="00C97D4F">
        <w:rPr>
          <w:lang w:val="hr-HR"/>
        </w:rPr>
        <w:t xml:space="preserve"> bod</w:t>
      </w:r>
      <w:r w:rsidR="006F685B">
        <w:rPr>
          <w:lang w:val="hr-HR"/>
        </w:rPr>
        <w:t>a</w:t>
      </w:r>
      <w:r>
        <w:rPr>
          <w:lang w:val="hr-HR"/>
        </w:rPr>
        <w:t>,</w:t>
      </w:r>
      <w:r w:rsidR="004F2000">
        <w:rPr>
          <w:lang w:val="hr-HR"/>
        </w:rPr>
        <w:t xml:space="preserve"> odnosno</w:t>
      </w:r>
      <w:r>
        <w:rPr>
          <w:lang w:val="hr-HR"/>
        </w:rPr>
        <w:t xml:space="preserve"> sa </w:t>
      </w:r>
      <w:r w:rsidR="00FB44B1">
        <w:rPr>
          <w:lang w:val="hr-HR"/>
        </w:rPr>
        <w:t>63</w:t>
      </w:r>
      <w:r w:rsidR="006F685B">
        <w:rPr>
          <w:lang w:val="hr-HR"/>
        </w:rPr>
        <w:t>,1</w:t>
      </w:r>
      <w:r>
        <w:rPr>
          <w:lang w:val="hr-HR"/>
        </w:rPr>
        <w:t>% BDP-a krajem 202</w:t>
      </w:r>
      <w:r w:rsidR="00FB44B1">
        <w:rPr>
          <w:lang w:val="hr-HR"/>
        </w:rPr>
        <w:t>3</w:t>
      </w:r>
      <w:r>
        <w:rPr>
          <w:lang w:val="hr-HR"/>
        </w:rPr>
        <w:t>. na</w:t>
      </w:r>
      <w:r w:rsidRPr="00C97D4F">
        <w:rPr>
          <w:lang w:val="hr-HR"/>
        </w:rPr>
        <w:t xml:space="preserve"> </w:t>
      </w:r>
      <w:r w:rsidR="00FB44B1">
        <w:rPr>
          <w:lang w:val="hr-HR"/>
        </w:rPr>
        <w:t>58,9</w:t>
      </w:r>
      <w:r w:rsidR="009E0862">
        <w:rPr>
          <w:lang w:val="hr-HR"/>
        </w:rPr>
        <w:t>% BDP-a</w:t>
      </w:r>
      <w:r>
        <w:rPr>
          <w:lang w:val="hr-HR"/>
        </w:rPr>
        <w:t xml:space="preserve"> krajem 202</w:t>
      </w:r>
      <w:r w:rsidR="00FB44B1">
        <w:rPr>
          <w:lang w:val="hr-HR"/>
        </w:rPr>
        <w:t>4</w:t>
      </w:r>
      <w:r>
        <w:rPr>
          <w:lang w:val="hr-HR"/>
        </w:rPr>
        <w:t xml:space="preserve">. </w:t>
      </w:r>
      <w:r w:rsidRPr="00D53961">
        <w:rPr>
          <w:lang w:val="hr-HR"/>
        </w:rPr>
        <w:t>godine. Time će</w:t>
      </w:r>
      <w:r w:rsidR="00D53961" w:rsidRPr="00D53961">
        <w:rPr>
          <w:lang w:val="hr-HR"/>
        </w:rPr>
        <w:t xml:space="preserve"> udio javnog duga u bruto domaćem proizvodu po prvi puta od 2010. </w:t>
      </w:r>
      <w:r w:rsidR="00D53961">
        <w:rPr>
          <w:lang w:val="hr-HR"/>
        </w:rPr>
        <w:t xml:space="preserve">godine </w:t>
      </w:r>
      <w:r w:rsidR="00D53961" w:rsidRPr="00D53961">
        <w:rPr>
          <w:lang w:val="hr-HR"/>
        </w:rPr>
        <w:t>zabilježiti razinu ispod granice od 60% BDP-a</w:t>
      </w:r>
      <w:r w:rsidRPr="00D53961">
        <w:rPr>
          <w:lang w:val="hr-HR"/>
        </w:rPr>
        <w:t>.</w:t>
      </w:r>
      <w:r w:rsidRPr="00606C95">
        <w:rPr>
          <w:lang w:val="hr-HR"/>
        </w:rPr>
        <w:t xml:space="preserve"> </w:t>
      </w:r>
    </w:p>
    <w:sectPr w:rsidR="0095185C" w:rsidRPr="005B12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0B1" w:rsidRDefault="00B950B1">
      <w:pPr>
        <w:spacing w:after="0" w:line="240" w:lineRule="auto"/>
      </w:pPr>
      <w:r>
        <w:separator/>
      </w:r>
    </w:p>
  </w:endnote>
  <w:endnote w:type="continuationSeparator" w:id="0">
    <w:p w:rsidR="00B950B1" w:rsidRDefault="00B9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84467C">
          <w:rPr>
            <w:noProof/>
            <w:sz w:val="20"/>
            <w:szCs w:val="20"/>
          </w:rPr>
          <w:t>21</w:t>
        </w:r>
        <w:r w:rsidRPr="00927736">
          <w:rPr>
            <w:noProof/>
            <w:sz w:val="20"/>
            <w:szCs w:val="20"/>
          </w:rPr>
          <w:fldChar w:fldCharType="end"/>
        </w:r>
      </w:p>
    </w:sdtContent>
  </w:sdt>
  <w:p w:rsidR="00927736" w:rsidRDefault="00844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0B1" w:rsidRDefault="00B950B1">
      <w:pPr>
        <w:spacing w:after="0" w:line="240" w:lineRule="auto"/>
      </w:pPr>
      <w:r>
        <w:separator/>
      </w:r>
    </w:p>
  </w:footnote>
  <w:footnote w:type="continuationSeparator" w:id="0">
    <w:p w:rsidR="00B950B1" w:rsidRDefault="00B950B1">
      <w:pPr>
        <w:spacing w:after="0" w:line="240" w:lineRule="auto"/>
      </w:pPr>
      <w:r>
        <w:continuationSeparator/>
      </w:r>
    </w:p>
  </w:footnote>
  <w:footnote w:id="1">
    <w:p w:rsidR="007C7513" w:rsidRPr="009D1EC4" w:rsidRDefault="007C7513" w:rsidP="007C7513">
      <w:pPr>
        <w:pStyle w:val="FootnoteText"/>
        <w:jc w:val="both"/>
        <w:rPr>
          <w:lang w:val="hr-HR"/>
        </w:rPr>
      </w:pPr>
      <w:r w:rsidRPr="009D1EC4">
        <w:rPr>
          <w:rStyle w:val="FootnoteReference"/>
          <w:lang w:val="hr-HR"/>
        </w:rPr>
        <w:footnoteRef/>
      </w:r>
      <w:r w:rsidRPr="009D1EC4">
        <w:rPr>
          <w:lang w:val="hr-HR"/>
        </w:rPr>
        <w:t xml:space="preserve"> Detaljna projekcija komponenata BDP-a s rashodne strane bit će objavljena u okviru Nacrta proračunskog plana Republike Hrvatske za 2025. godinu, koji će Vlada R</w:t>
      </w:r>
      <w:r w:rsidR="009D1EC4">
        <w:rPr>
          <w:lang w:val="hr-HR"/>
        </w:rPr>
        <w:t>epublike Hrvatske</w:t>
      </w:r>
      <w:r w:rsidRPr="009D1EC4">
        <w:rPr>
          <w:lang w:val="hr-HR"/>
        </w:rPr>
        <w:t xml:space="preserve"> usvojiti do kraja listopada ove godine.</w:t>
      </w:r>
    </w:p>
  </w:footnote>
  <w:footnote w:id="2">
    <w:p w:rsidR="0068374C" w:rsidRDefault="0068374C" w:rsidP="0068374C">
      <w:pPr>
        <w:pStyle w:val="FootnoteText"/>
      </w:pPr>
      <w:r>
        <w:rPr>
          <w:rStyle w:val="FootnoteReference"/>
        </w:rPr>
        <w:footnoteRef/>
      </w:r>
      <w:r>
        <w:t xml:space="preserve"> </w:t>
      </w:r>
      <w:r w:rsidRPr="00410D1F">
        <w:t>Narodne novine br. 5/2024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434094"/>
    <w:multiLevelType w:val="hybridMultilevel"/>
    <w:tmpl w:val="409E4E6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1E932E43"/>
    <w:multiLevelType w:val="hybridMultilevel"/>
    <w:tmpl w:val="3DCAE8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60D3EF1"/>
    <w:multiLevelType w:val="hybridMultilevel"/>
    <w:tmpl w:val="CFAC933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45F56C3"/>
    <w:multiLevelType w:val="hybridMultilevel"/>
    <w:tmpl w:val="64CC5ECE"/>
    <w:lvl w:ilvl="0" w:tplc="8CF654E6">
      <w:numFmt w:val="bullet"/>
      <w:lvlText w:val="•"/>
      <w:lvlJc w:val="left"/>
      <w:pPr>
        <w:ind w:left="720" w:hanging="360"/>
      </w:pPr>
      <w:rPr>
        <w:rFonts w:ascii="Calibri" w:eastAsiaTheme="minorHAnsi" w:hAnsi="Calibri" w:cs="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02A40F6"/>
    <w:multiLevelType w:val="hybridMultilevel"/>
    <w:tmpl w:val="C6AA1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0315F45"/>
    <w:multiLevelType w:val="multilevel"/>
    <w:tmpl w:val="41FE2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6"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5"/>
  </w:num>
  <w:num w:numId="4">
    <w:abstractNumId w:val="2"/>
  </w:num>
  <w:num w:numId="5">
    <w:abstractNumId w:val="18"/>
  </w:num>
  <w:num w:numId="6">
    <w:abstractNumId w:val="3"/>
  </w:num>
  <w:num w:numId="7">
    <w:abstractNumId w:val="0"/>
  </w:num>
  <w:num w:numId="8">
    <w:abstractNumId w:val="4"/>
  </w:num>
  <w:num w:numId="9">
    <w:abstractNumId w:val="16"/>
  </w:num>
  <w:num w:numId="10">
    <w:abstractNumId w:val="19"/>
  </w:num>
  <w:num w:numId="11">
    <w:abstractNumId w:val="10"/>
  </w:num>
  <w:num w:numId="12">
    <w:abstractNumId w:val="6"/>
  </w:num>
  <w:num w:numId="13">
    <w:abstractNumId w:val="7"/>
  </w:num>
  <w:num w:numId="14">
    <w:abstractNumId w:val="1"/>
  </w:num>
  <w:num w:numId="15">
    <w:abstractNumId w:val="14"/>
  </w:num>
  <w:num w:numId="16">
    <w:abstractNumId w:val="13"/>
  </w:num>
  <w:num w:numId="17">
    <w:abstractNumId w:val="9"/>
  </w:num>
  <w:num w:numId="18">
    <w:abstractNumId w:val="5"/>
  </w:num>
  <w:num w:numId="19">
    <w:abstractNumId w:val="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261D"/>
    <w:rsid w:val="00003D5E"/>
    <w:rsid w:val="00004CF8"/>
    <w:rsid w:val="0000672A"/>
    <w:rsid w:val="00006731"/>
    <w:rsid w:val="000101D8"/>
    <w:rsid w:val="0001315E"/>
    <w:rsid w:val="00021B81"/>
    <w:rsid w:val="00023A60"/>
    <w:rsid w:val="00023F38"/>
    <w:rsid w:val="00025948"/>
    <w:rsid w:val="00027686"/>
    <w:rsid w:val="00027EBF"/>
    <w:rsid w:val="000307B2"/>
    <w:rsid w:val="00044D20"/>
    <w:rsid w:val="0004579A"/>
    <w:rsid w:val="000465E0"/>
    <w:rsid w:val="0005132A"/>
    <w:rsid w:val="000516ED"/>
    <w:rsid w:val="0005291D"/>
    <w:rsid w:val="00060E64"/>
    <w:rsid w:val="00060F54"/>
    <w:rsid w:val="0006121D"/>
    <w:rsid w:val="000674BE"/>
    <w:rsid w:val="0007216A"/>
    <w:rsid w:val="000722F3"/>
    <w:rsid w:val="00077291"/>
    <w:rsid w:val="00081C54"/>
    <w:rsid w:val="00082EB1"/>
    <w:rsid w:val="000848F3"/>
    <w:rsid w:val="00085157"/>
    <w:rsid w:val="000949E5"/>
    <w:rsid w:val="000A2502"/>
    <w:rsid w:val="000A253C"/>
    <w:rsid w:val="000A57CF"/>
    <w:rsid w:val="000B4B02"/>
    <w:rsid w:val="000B7EEC"/>
    <w:rsid w:val="000C1CEE"/>
    <w:rsid w:val="000C4539"/>
    <w:rsid w:val="000D3576"/>
    <w:rsid w:val="000D59BF"/>
    <w:rsid w:val="000E4A39"/>
    <w:rsid w:val="000F091E"/>
    <w:rsid w:val="000F0944"/>
    <w:rsid w:val="000F2753"/>
    <w:rsid w:val="001021B6"/>
    <w:rsid w:val="001039E2"/>
    <w:rsid w:val="00103C81"/>
    <w:rsid w:val="001127D4"/>
    <w:rsid w:val="0011352B"/>
    <w:rsid w:val="0011617A"/>
    <w:rsid w:val="00116F22"/>
    <w:rsid w:val="00122C87"/>
    <w:rsid w:val="0013052B"/>
    <w:rsid w:val="001314F6"/>
    <w:rsid w:val="001321EB"/>
    <w:rsid w:val="00134B35"/>
    <w:rsid w:val="00135C45"/>
    <w:rsid w:val="00144841"/>
    <w:rsid w:val="00146291"/>
    <w:rsid w:val="00153EC8"/>
    <w:rsid w:val="00161610"/>
    <w:rsid w:val="001628CF"/>
    <w:rsid w:val="00163C80"/>
    <w:rsid w:val="001642D4"/>
    <w:rsid w:val="001660B7"/>
    <w:rsid w:val="00167FEE"/>
    <w:rsid w:val="00176E3C"/>
    <w:rsid w:val="00180523"/>
    <w:rsid w:val="001830E6"/>
    <w:rsid w:val="001861DB"/>
    <w:rsid w:val="00195EBE"/>
    <w:rsid w:val="001968B6"/>
    <w:rsid w:val="00196F0D"/>
    <w:rsid w:val="00197DB6"/>
    <w:rsid w:val="001A2049"/>
    <w:rsid w:val="001A487B"/>
    <w:rsid w:val="001A7F56"/>
    <w:rsid w:val="001B136F"/>
    <w:rsid w:val="001C0A3F"/>
    <w:rsid w:val="001C0D49"/>
    <w:rsid w:val="001C50F6"/>
    <w:rsid w:val="001C518F"/>
    <w:rsid w:val="001C5874"/>
    <w:rsid w:val="001D5595"/>
    <w:rsid w:val="001E0575"/>
    <w:rsid w:val="001E19B0"/>
    <w:rsid w:val="001E514B"/>
    <w:rsid w:val="001F1D66"/>
    <w:rsid w:val="001F2B62"/>
    <w:rsid w:val="001F3D73"/>
    <w:rsid w:val="001F4161"/>
    <w:rsid w:val="001F5712"/>
    <w:rsid w:val="002022F9"/>
    <w:rsid w:val="002029CF"/>
    <w:rsid w:val="00202ECD"/>
    <w:rsid w:val="00203260"/>
    <w:rsid w:val="00205365"/>
    <w:rsid w:val="002125E9"/>
    <w:rsid w:val="00212FF2"/>
    <w:rsid w:val="002177E5"/>
    <w:rsid w:val="0022280E"/>
    <w:rsid w:val="00227042"/>
    <w:rsid w:val="002447E3"/>
    <w:rsid w:val="0024536B"/>
    <w:rsid w:val="0024773E"/>
    <w:rsid w:val="00256902"/>
    <w:rsid w:val="002632A5"/>
    <w:rsid w:val="0026390D"/>
    <w:rsid w:val="00263C6F"/>
    <w:rsid w:val="0026503E"/>
    <w:rsid w:val="00270A0D"/>
    <w:rsid w:val="00272320"/>
    <w:rsid w:val="002734F4"/>
    <w:rsid w:val="002776E1"/>
    <w:rsid w:val="00277BFE"/>
    <w:rsid w:val="002821C1"/>
    <w:rsid w:val="00287171"/>
    <w:rsid w:val="002875DE"/>
    <w:rsid w:val="00287D4E"/>
    <w:rsid w:val="00291285"/>
    <w:rsid w:val="00297AA5"/>
    <w:rsid w:val="002A19FA"/>
    <w:rsid w:val="002B3BAA"/>
    <w:rsid w:val="002C1D0D"/>
    <w:rsid w:val="002C4294"/>
    <w:rsid w:val="002C7056"/>
    <w:rsid w:val="002D078F"/>
    <w:rsid w:val="002D1818"/>
    <w:rsid w:val="002D3AA1"/>
    <w:rsid w:val="002D563E"/>
    <w:rsid w:val="002D5B5F"/>
    <w:rsid w:val="002E0711"/>
    <w:rsid w:val="002E165F"/>
    <w:rsid w:val="002E2FFA"/>
    <w:rsid w:val="002F110B"/>
    <w:rsid w:val="002F1167"/>
    <w:rsid w:val="002F2569"/>
    <w:rsid w:val="002F3F2E"/>
    <w:rsid w:val="00302BA8"/>
    <w:rsid w:val="00305F0F"/>
    <w:rsid w:val="0031135C"/>
    <w:rsid w:val="0031161A"/>
    <w:rsid w:val="003130EE"/>
    <w:rsid w:val="00322E85"/>
    <w:rsid w:val="00324763"/>
    <w:rsid w:val="0032576C"/>
    <w:rsid w:val="0032614A"/>
    <w:rsid w:val="0033243E"/>
    <w:rsid w:val="00336226"/>
    <w:rsid w:val="00343D8F"/>
    <w:rsid w:val="003459A2"/>
    <w:rsid w:val="003461F5"/>
    <w:rsid w:val="00354B24"/>
    <w:rsid w:val="00363C1C"/>
    <w:rsid w:val="00364E3D"/>
    <w:rsid w:val="00371DE3"/>
    <w:rsid w:val="00372A2E"/>
    <w:rsid w:val="0037580C"/>
    <w:rsid w:val="00380E0B"/>
    <w:rsid w:val="00382903"/>
    <w:rsid w:val="00393372"/>
    <w:rsid w:val="003955B2"/>
    <w:rsid w:val="003A141B"/>
    <w:rsid w:val="003A3C60"/>
    <w:rsid w:val="003A3ED1"/>
    <w:rsid w:val="003A5942"/>
    <w:rsid w:val="003B24C8"/>
    <w:rsid w:val="003B442E"/>
    <w:rsid w:val="003B4749"/>
    <w:rsid w:val="003B7E82"/>
    <w:rsid w:val="003C16AA"/>
    <w:rsid w:val="003C1F05"/>
    <w:rsid w:val="003C433B"/>
    <w:rsid w:val="003C48BC"/>
    <w:rsid w:val="003D0CEC"/>
    <w:rsid w:val="003D66F3"/>
    <w:rsid w:val="003D77F1"/>
    <w:rsid w:val="003E132F"/>
    <w:rsid w:val="003E2AE9"/>
    <w:rsid w:val="003E4F61"/>
    <w:rsid w:val="003E6AB4"/>
    <w:rsid w:val="003E770D"/>
    <w:rsid w:val="003F33C8"/>
    <w:rsid w:val="003F5AF9"/>
    <w:rsid w:val="004017B2"/>
    <w:rsid w:val="004041B9"/>
    <w:rsid w:val="00411965"/>
    <w:rsid w:val="00412A4D"/>
    <w:rsid w:val="00413A8B"/>
    <w:rsid w:val="00424966"/>
    <w:rsid w:val="00430846"/>
    <w:rsid w:val="00431373"/>
    <w:rsid w:val="00431436"/>
    <w:rsid w:val="0043248F"/>
    <w:rsid w:val="00432971"/>
    <w:rsid w:val="00433F61"/>
    <w:rsid w:val="00436640"/>
    <w:rsid w:val="00437A80"/>
    <w:rsid w:val="00443089"/>
    <w:rsid w:val="004430B0"/>
    <w:rsid w:val="00444347"/>
    <w:rsid w:val="00460A30"/>
    <w:rsid w:val="0046118F"/>
    <w:rsid w:val="004619A3"/>
    <w:rsid w:val="00461F62"/>
    <w:rsid w:val="00462A9E"/>
    <w:rsid w:val="00462EC5"/>
    <w:rsid w:val="00464930"/>
    <w:rsid w:val="00473921"/>
    <w:rsid w:val="0047545F"/>
    <w:rsid w:val="00475489"/>
    <w:rsid w:val="00477293"/>
    <w:rsid w:val="0048078A"/>
    <w:rsid w:val="00480958"/>
    <w:rsid w:val="0048144B"/>
    <w:rsid w:val="00484ACC"/>
    <w:rsid w:val="00485117"/>
    <w:rsid w:val="004869ED"/>
    <w:rsid w:val="00493C2F"/>
    <w:rsid w:val="004941A1"/>
    <w:rsid w:val="00497255"/>
    <w:rsid w:val="004A0B3C"/>
    <w:rsid w:val="004A6071"/>
    <w:rsid w:val="004A6E12"/>
    <w:rsid w:val="004B07D7"/>
    <w:rsid w:val="004C0D92"/>
    <w:rsid w:val="004C1AAF"/>
    <w:rsid w:val="004C3991"/>
    <w:rsid w:val="004D3018"/>
    <w:rsid w:val="004D7F5F"/>
    <w:rsid w:val="004E22FA"/>
    <w:rsid w:val="004E31D4"/>
    <w:rsid w:val="004E3244"/>
    <w:rsid w:val="004E4E67"/>
    <w:rsid w:val="004E62B4"/>
    <w:rsid w:val="004E6301"/>
    <w:rsid w:val="004F024C"/>
    <w:rsid w:val="004F2000"/>
    <w:rsid w:val="004F3376"/>
    <w:rsid w:val="004F679C"/>
    <w:rsid w:val="004F7F6A"/>
    <w:rsid w:val="00501B37"/>
    <w:rsid w:val="005052A5"/>
    <w:rsid w:val="005116C4"/>
    <w:rsid w:val="00513178"/>
    <w:rsid w:val="00515E82"/>
    <w:rsid w:val="00516C30"/>
    <w:rsid w:val="00523FC5"/>
    <w:rsid w:val="00524000"/>
    <w:rsid w:val="0052640F"/>
    <w:rsid w:val="00527CC0"/>
    <w:rsid w:val="00530EA6"/>
    <w:rsid w:val="0053462C"/>
    <w:rsid w:val="00534EB8"/>
    <w:rsid w:val="005352CE"/>
    <w:rsid w:val="0054100C"/>
    <w:rsid w:val="005432B2"/>
    <w:rsid w:val="00555278"/>
    <w:rsid w:val="00556E15"/>
    <w:rsid w:val="00564895"/>
    <w:rsid w:val="00565534"/>
    <w:rsid w:val="00575C1C"/>
    <w:rsid w:val="00581587"/>
    <w:rsid w:val="005874C7"/>
    <w:rsid w:val="00590B56"/>
    <w:rsid w:val="005910E9"/>
    <w:rsid w:val="00594EDD"/>
    <w:rsid w:val="005A0005"/>
    <w:rsid w:val="005A21E0"/>
    <w:rsid w:val="005A232D"/>
    <w:rsid w:val="005A3FA6"/>
    <w:rsid w:val="005A4D7F"/>
    <w:rsid w:val="005A5CBC"/>
    <w:rsid w:val="005A6A43"/>
    <w:rsid w:val="005A794A"/>
    <w:rsid w:val="005B125D"/>
    <w:rsid w:val="005B2307"/>
    <w:rsid w:val="005B427E"/>
    <w:rsid w:val="005B48B6"/>
    <w:rsid w:val="005B5449"/>
    <w:rsid w:val="005B551F"/>
    <w:rsid w:val="005B6C0E"/>
    <w:rsid w:val="005C0106"/>
    <w:rsid w:val="005D0BFC"/>
    <w:rsid w:val="005D1E70"/>
    <w:rsid w:val="005D5BD8"/>
    <w:rsid w:val="005E07B9"/>
    <w:rsid w:val="005E6607"/>
    <w:rsid w:val="005F50CC"/>
    <w:rsid w:val="006006A7"/>
    <w:rsid w:val="00604A00"/>
    <w:rsid w:val="00613326"/>
    <w:rsid w:val="0061798F"/>
    <w:rsid w:val="00621C85"/>
    <w:rsid w:val="00623D98"/>
    <w:rsid w:val="006344E3"/>
    <w:rsid w:val="00636B36"/>
    <w:rsid w:val="0063732B"/>
    <w:rsid w:val="00643BD3"/>
    <w:rsid w:val="006543D7"/>
    <w:rsid w:val="0065671B"/>
    <w:rsid w:val="00663BAE"/>
    <w:rsid w:val="00663C53"/>
    <w:rsid w:val="00664373"/>
    <w:rsid w:val="0066449E"/>
    <w:rsid w:val="00664705"/>
    <w:rsid w:val="00664A81"/>
    <w:rsid w:val="00664B51"/>
    <w:rsid w:val="00665B80"/>
    <w:rsid w:val="00670EAD"/>
    <w:rsid w:val="00671EBB"/>
    <w:rsid w:val="006727D8"/>
    <w:rsid w:val="00673FB2"/>
    <w:rsid w:val="006829D5"/>
    <w:rsid w:val="0068374C"/>
    <w:rsid w:val="00684659"/>
    <w:rsid w:val="006926E8"/>
    <w:rsid w:val="006933C6"/>
    <w:rsid w:val="00695A3B"/>
    <w:rsid w:val="006A0870"/>
    <w:rsid w:val="006A0DFE"/>
    <w:rsid w:val="006B61E8"/>
    <w:rsid w:val="006C2D6D"/>
    <w:rsid w:val="006C378E"/>
    <w:rsid w:val="006C7BE6"/>
    <w:rsid w:val="006D1E67"/>
    <w:rsid w:val="006D216C"/>
    <w:rsid w:val="006E0462"/>
    <w:rsid w:val="006E2E2C"/>
    <w:rsid w:val="006F38A8"/>
    <w:rsid w:val="006F685B"/>
    <w:rsid w:val="00701485"/>
    <w:rsid w:val="00702946"/>
    <w:rsid w:val="00716AF3"/>
    <w:rsid w:val="00716EB6"/>
    <w:rsid w:val="0072362F"/>
    <w:rsid w:val="00731F4D"/>
    <w:rsid w:val="007329D4"/>
    <w:rsid w:val="00732DC2"/>
    <w:rsid w:val="007458E6"/>
    <w:rsid w:val="00746FEB"/>
    <w:rsid w:val="007502A4"/>
    <w:rsid w:val="007542A0"/>
    <w:rsid w:val="0075491A"/>
    <w:rsid w:val="00757FA8"/>
    <w:rsid w:val="0076522F"/>
    <w:rsid w:val="00766D65"/>
    <w:rsid w:val="00770408"/>
    <w:rsid w:val="007751CC"/>
    <w:rsid w:val="007770EE"/>
    <w:rsid w:val="00784406"/>
    <w:rsid w:val="00787D80"/>
    <w:rsid w:val="007905BA"/>
    <w:rsid w:val="00790CDC"/>
    <w:rsid w:val="00791EF6"/>
    <w:rsid w:val="0079230A"/>
    <w:rsid w:val="00796C59"/>
    <w:rsid w:val="007A4B97"/>
    <w:rsid w:val="007A6C24"/>
    <w:rsid w:val="007B1C3F"/>
    <w:rsid w:val="007B291C"/>
    <w:rsid w:val="007B5B19"/>
    <w:rsid w:val="007C299C"/>
    <w:rsid w:val="007C3AA7"/>
    <w:rsid w:val="007C44C4"/>
    <w:rsid w:val="007C5725"/>
    <w:rsid w:val="007C66CE"/>
    <w:rsid w:val="007C7513"/>
    <w:rsid w:val="007D1376"/>
    <w:rsid w:val="007D1F26"/>
    <w:rsid w:val="007D3532"/>
    <w:rsid w:val="007D4EC4"/>
    <w:rsid w:val="007D65E1"/>
    <w:rsid w:val="007E3DD6"/>
    <w:rsid w:val="007E3F39"/>
    <w:rsid w:val="007E4DD0"/>
    <w:rsid w:val="007E5126"/>
    <w:rsid w:val="007E7F0F"/>
    <w:rsid w:val="007F14D5"/>
    <w:rsid w:val="007F57ED"/>
    <w:rsid w:val="007F5D36"/>
    <w:rsid w:val="00802489"/>
    <w:rsid w:val="00817577"/>
    <w:rsid w:val="00817E42"/>
    <w:rsid w:val="00824F6B"/>
    <w:rsid w:val="00832499"/>
    <w:rsid w:val="00832D95"/>
    <w:rsid w:val="00834F7F"/>
    <w:rsid w:val="00842ABA"/>
    <w:rsid w:val="00842AFE"/>
    <w:rsid w:val="0084456C"/>
    <w:rsid w:val="0084467C"/>
    <w:rsid w:val="00844759"/>
    <w:rsid w:val="008459EF"/>
    <w:rsid w:val="00853137"/>
    <w:rsid w:val="00855015"/>
    <w:rsid w:val="008564C5"/>
    <w:rsid w:val="008564E7"/>
    <w:rsid w:val="00862D60"/>
    <w:rsid w:val="008640C8"/>
    <w:rsid w:val="00866FE4"/>
    <w:rsid w:val="00872199"/>
    <w:rsid w:val="008806AD"/>
    <w:rsid w:val="0088473B"/>
    <w:rsid w:val="00890A93"/>
    <w:rsid w:val="00892DEC"/>
    <w:rsid w:val="008A355E"/>
    <w:rsid w:val="008B023E"/>
    <w:rsid w:val="008B11A1"/>
    <w:rsid w:val="008B2BF8"/>
    <w:rsid w:val="008B3DDE"/>
    <w:rsid w:val="008B5A3F"/>
    <w:rsid w:val="008B6A21"/>
    <w:rsid w:val="008C09FB"/>
    <w:rsid w:val="008D1E3F"/>
    <w:rsid w:val="008D59D4"/>
    <w:rsid w:val="008E0A92"/>
    <w:rsid w:val="008E433A"/>
    <w:rsid w:val="008E663A"/>
    <w:rsid w:val="008E6B89"/>
    <w:rsid w:val="008F3ABC"/>
    <w:rsid w:val="008F43CA"/>
    <w:rsid w:val="008F77E8"/>
    <w:rsid w:val="00900091"/>
    <w:rsid w:val="0090598D"/>
    <w:rsid w:val="00905BD4"/>
    <w:rsid w:val="009066BC"/>
    <w:rsid w:val="00906CDD"/>
    <w:rsid w:val="00910147"/>
    <w:rsid w:val="00911875"/>
    <w:rsid w:val="009259EC"/>
    <w:rsid w:val="009277FC"/>
    <w:rsid w:val="00927931"/>
    <w:rsid w:val="0093096B"/>
    <w:rsid w:val="00935190"/>
    <w:rsid w:val="0093578D"/>
    <w:rsid w:val="009378FA"/>
    <w:rsid w:val="009472B4"/>
    <w:rsid w:val="0095185C"/>
    <w:rsid w:val="00956D9C"/>
    <w:rsid w:val="00961B26"/>
    <w:rsid w:val="00965909"/>
    <w:rsid w:val="00965B91"/>
    <w:rsid w:val="00966612"/>
    <w:rsid w:val="00967A84"/>
    <w:rsid w:val="00970046"/>
    <w:rsid w:val="00970185"/>
    <w:rsid w:val="00972E2E"/>
    <w:rsid w:val="0098527F"/>
    <w:rsid w:val="009910AD"/>
    <w:rsid w:val="00991529"/>
    <w:rsid w:val="00991D29"/>
    <w:rsid w:val="00992BE3"/>
    <w:rsid w:val="00993254"/>
    <w:rsid w:val="009967B3"/>
    <w:rsid w:val="00997638"/>
    <w:rsid w:val="009A09F2"/>
    <w:rsid w:val="009A2AD6"/>
    <w:rsid w:val="009A46B0"/>
    <w:rsid w:val="009A6F6C"/>
    <w:rsid w:val="009B5CBF"/>
    <w:rsid w:val="009C05C5"/>
    <w:rsid w:val="009C1408"/>
    <w:rsid w:val="009C5913"/>
    <w:rsid w:val="009C6EC4"/>
    <w:rsid w:val="009D0FF5"/>
    <w:rsid w:val="009D1EC4"/>
    <w:rsid w:val="009D2095"/>
    <w:rsid w:val="009D7C74"/>
    <w:rsid w:val="009E06DD"/>
    <w:rsid w:val="009E0862"/>
    <w:rsid w:val="009E2EE7"/>
    <w:rsid w:val="009F1616"/>
    <w:rsid w:val="009F7E77"/>
    <w:rsid w:val="00A013A4"/>
    <w:rsid w:val="00A030F1"/>
    <w:rsid w:val="00A07A6D"/>
    <w:rsid w:val="00A10916"/>
    <w:rsid w:val="00A15365"/>
    <w:rsid w:val="00A21D60"/>
    <w:rsid w:val="00A21F78"/>
    <w:rsid w:val="00A22498"/>
    <w:rsid w:val="00A23247"/>
    <w:rsid w:val="00A33009"/>
    <w:rsid w:val="00A3339D"/>
    <w:rsid w:val="00A3497D"/>
    <w:rsid w:val="00A3569F"/>
    <w:rsid w:val="00A42F39"/>
    <w:rsid w:val="00A438F5"/>
    <w:rsid w:val="00A461B3"/>
    <w:rsid w:val="00A51F1D"/>
    <w:rsid w:val="00A52208"/>
    <w:rsid w:val="00A52D48"/>
    <w:rsid w:val="00A56BDD"/>
    <w:rsid w:val="00A66542"/>
    <w:rsid w:val="00A6778B"/>
    <w:rsid w:val="00A678BE"/>
    <w:rsid w:val="00A74C1D"/>
    <w:rsid w:val="00A75BB0"/>
    <w:rsid w:val="00A77AFD"/>
    <w:rsid w:val="00A77D9B"/>
    <w:rsid w:val="00A92178"/>
    <w:rsid w:val="00A93616"/>
    <w:rsid w:val="00A97837"/>
    <w:rsid w:val="00AA04C8"/>
    <w:rsid w:val="00AA256A"/>
    <w:rsid w:val="00AA402D"/>
    <w:rsid w:val="00AA751A"/>
    <w:rsid w:val="00AB14F5"/>
    <w:rsid w:val="00AB1A7D"/>
    <w:rsid w:val="00AB6ED0"/>
    <w:rsid w:val="00AC174D"/>
    <w:rsid w:val="00AC1D21"/>
    <w:rsid w:val="00AC3A63"/>
    <w:rsid w:val="00AC4047"/>
    <w:rsid w:val="00AD4D90"/>
    <w:rsid w:val="00AD7171"/>
    <w:rsid w:val="00AF233C"/>
    <w:rsid w:val="00B00F17"/>
    <w:rsid w:val="00B03DCD"/>
    <w:rsid w:val="00B07A9E"/>
    <w:rsid w:val="00B1290A"/>
    <w:rsid w:val="00B135AC"/>
    <w:rsid w:val="00B13D42"/>
    <w:rsid w:val="00B14811"/>
    <w:rsid w:val="00B15953"/>
    <w:rsid w:val="00B174AC"/>
    <w:rsid w:val="00B26378"/>
    <w:rsid w:val="00B30D8D"/>
    <w:rsid w:val="00B31D1F"/>
    <w:rsid w:val="00B32FA6"/>
    <w:rsid w:val="00B3494F"/>
    <w:rsid w:val="00B3517B"/>
    <w:rsid w:val="00B36CEE"/>
    <w:rsid w:val="00B4019E"/>
    <w:rsid w:val="00B448B2"/>
    <w:rsid w:val="00B50485"/>
    <w:rsid w:val="00B51E04"/>
    <w:rsid w:val="00B52D51"/>
    <w:rsid w:val="00B56836"/>
    <w:rsid w:val="00B606DE"/>
    <w:rsid w:val="00B63062"/>
    <w:rsid w:val="00B65176"/>
    <w:rsid w:val="00B66561"/>
    <w:rsid w:val="00B6674E"/>
    <w:rsid w:val="00B72346"/>
    <w:rsid w:val="00B74EF4"/>
    <w:rsid w:val="00B74F0B"/>
    <w:rsid w:val="00B7748B"/>
    <w:rsid w:val="00B85595"/>
    <w:rsid w:val="00B91C82"/>
    <w:rsid w:val="00B950B1"/>
    <w:rsid w:val="00B96BDF"/>
    <w:rsid w:val="00BA3F52"/>
    <w:rsid w:val="00BA4CAA"/>
    <w:rsid w:val="00BA7EE7"/>
    <w:rsid w:val="00BB2EE4"/>
    <w:rsid w:val="00BB70D5"/>
    <w:rsid w:val="00BC18A3"/>
    <w:rsid w:val="00BD5FC6"/>
    <w:rsid w:val="00BD6A94"/>
    <w:rsid w:val="00BE1308"/>
    <w:rsid w:val="00BE257E"/>
    <w:rsid w:val="00BE4D10"/>
    <w:rsid w:val="00BE5075"/>
    <w:rsid w:val="00BE72A0"/>
    <w:rsid w:val="00BF3942"/>
    <w:rsid w:val="00BF3C17"/>
    <w:rsid w:val="00BF57CE"/>
    <w:rsid w:val="00BF661A"/>
    <w:rsid w:val="00C00C23"/>
    <w:rsid w:val="00C062D4"/>
    <w:rsid w:val="00C06873"/>
    <w:rsid w:val="00C1059A"/>
    <w:rsid w:val="00C11AED"/>
    <w:rsid w:val="00C17512"/>
    <w:rsid w:val="00C17FF7"/>
    <w:rsid w:val="00C24DB0"/>
    <w:rsid w:val="00C262BF"/>
    <w:rsid w:val="00C31E42"/>
    <w:rsid w:val="00C32CBF"/>
    <w:rsid w:val="00C36434"/>
    <w:rsid w:val="00C3717D"/>
    <w:rsid w:val="00C41D6F"/>
    <w:rsid w:val="00C46632"/>
    <w:rsid w:val="00C47F89"/>
    <w:rsid w:val="00C51F2C"/>
    <w:rsid w:val="00C533A2"/>
    <w:rsid w:val="00C54C06"/>
    <w:rsid w:val="00C555C3"/>
    <w:rsid w:val="00C56E02"/>
    <w:rsid w:val="00C60125"/>
    <w:rsid w:val="00C610F9"/>
    <w:rsid w:val="00C67DD6"/>
    <w:rsid w:val="00C7460B"/>
    <w:rsid w:val="00C7479D"/>
    <w:rsid w:val="00C763F9"/>
    <w:rsid w:val="00C77421"/>
    <w:rsid w:val="00C83380"/>
    <w:rsid w:val="00C84E40"/>
    <w:rsid w:val="00C92C5B"/>
    <w:rsid w:val="00C95CFE"/>
    <w:rsid w:val="00CA3337"/>
    <w:rsid w:val="00CA41D6"/>
    <w:rsid w:val="00CA437A"/>
    <w:rsid w:val="00CA5BC3"/>
    <w:rsid w:val="00CA6AF5"/>
    <w:rsid w:val="00CC069F"/>
    <w:rsid w:val="00CC0A3D"/>
    <w:rsid w:val="00CC4398"/>
    <w:rsid w:val="00CD14C8"/>
    <w:rsid w:val="00CD15C6"/>
    <w:rsid w:val="00CD2526"/>
    <w:rsid w:val="00CD730D"/>
    <w:rsid w:val="00CF000A"/>
    <w:rsid w:val="00CF03AD"/>
    <w:rsid w:val="00CF04E7"/>
    <w:rsid w:val="00CF0514"/>
    <w:rsid w:val="00CF4823"/>
    <w:rsid w:val="00CF50C0"/>
    <w:rsid w:val="00CF5406"/>
    <w:rsid w:val="00CF5DD9"/>
    <w:rsid w:val="00D06737"/>
    <w:rsid w:val="00D27947"/>
    <w:rsid w:val="00D40284"/>
    <w:rsid w:val="00D45B2D"/>
    <w:rsid w:val="00D46757"/>
    <w:rsid w:val="00D46AB0"/>
    <w:rsid w:val="00D511CC"/>
    <w:rsid w:val="00D5262A"/>
    <w:rsid w:val="00D53961"/>
    <w:rsid w:val="00D56004"/>
    <w:rsid w:val="00D570FC"/>
    <w:rsid w:val="00D70C36"/>
    <w:rsid w:val="00D812BD"/>
    <w:rsid w:val="00D82CC3"/>
    <w:rsid w:val="00D864E1"/>
    <w:rsid w:val="00D92DB5"/>
    <w:rsid w:val="00D93C56"/>
    <w:rsid w:val="00DA1189"/>
    <w:rsid w:val="00DA1740"/>
    <w:rsid w:val="00DA22D3"/>
    <w:rsid w:val="00DB5186"/>
    <w:rsid w:val="00DC26C9"/>
    <w:rsid w:val="00DC504A"/>
    <w:rsid w:val="00DC591A"/>
    <w:rsid w:val="00DC5CAF"/>
    <w:rsid w:val="00DC5E71"/>
    <w:rsid w:val="00DC6AAE"/>
    <w:rsid w:val="00DE5A47"/>
    <w:rsid w:val="00DE6EED"/>
    <w:rsid w:val="00DF49B8"/>
    <w:rsid w:val="00DF7A70"/>
    <w:rsid w:val="00E01471"/>
    <w:rsid w:val="00E060E7"/>
    <w:rsid w:val="00E12DB3"/>
    <w:rsid w:val="00E15E9E"/>
    <w:rsid w:val="00E20D37"/>
    <w:rsid w:val="00E20FF7"/>
    <w:rsid w:val="00E21C16"/>
    <w:rsid w:val="00E2643A"/>
    <w:rsid w:val="00E27147"/>
    <w:rsid w:val="00E30880"/>
    <w:rsid w:val="00E32B85"/>
    <w:rsid w:val="00E45433"/>
    <w:rsid w:val="00E465A1"/>
    <w:rsid w:val="00E5667D"/>
    <w:rsid w:val="00E57CFF"/>
    <w:rsid w:val="00E671B1"/>
    <w:rsid w:val="00E75BE4"/>
    <w:rsid w:val="00E80FFF"/>
    <w:rsid w:val="00E82346"/>
    <w:rsid w:val="00E93CB7"/>
    <w:rsid w:val="00E95E7A"/>
    <w:rsid w:val="00E97503"/>
    <w:rsid w:val="00EA2577"/>
    <w:rsid w:val="00EB1AD0"/>
    <w:rsid w:val="00EB22C9"/>
    <w:rsid w:val="00EB3983"/>
    <w:rsid w:val="00EC1365"/>
    <w:rsid w:val="00ED0AB1"/>
    <w:rsid w:val="00ED0B28"/>
    <w:rsid w:val="00ED5700"/>
    <w:rsid w:val="00ED6807"/>
    <w:rsid w:val="00EE08FA"/>
    <w:rsid w:val="00EE2C12"/>
    <w:rsid w:val="00EE3D13"/>
    <w:rsid w:val="00EE3D93"/>
    <w:rsid w:val="00EF036D"/>
    <w:rsid w:val="00EF26CB"/>
    <w:rsid w:val="00EF353D"/>
    <w:rsid w:val="00EF63E6"/>
    <w:rsid w:val="00EF7029"/>
    <w:rsid w:val="00F03436"/>
    <w:rsid w:val="00F03484"/>
    <w:rsid w:val="00F1659B"/>
    <w:rsid w:val="00F16C25"/>
    <w:rsid w:val="00F21197"/>
    <w:rsid w:val="00F212E0"/>
    <w:rsid w:val="00F25F9A"/>
    <w:rsid w:val="00F32EC6"/>
    <w:rsid w:val="00F45CF8"/>
    <w:rsid w:val="00F46764"/>
    <w:rsid w:val="00F50D8B"/>
    <w:rsid w:val="00F51DEA"/>
    <w:rsid w:val="00F6029A"/>
    <w:rsid w:val="00F62411"/>
    <w:rsid w:val="00F62D8E"/>
    <w:rsid w:val="00F651AE"/>
    <w:rsid w:val="00F6790C"/>
    <w:rsid w:val="00F827CA"/>
    <w:rsid w:val="00F92DA4"/>
    <w:rsid w:val="00F94493"/>
    <w:rsid w:val="00F94845"/>
    <w:rsid w:val="00F94FB5"/>
    <w:rsid w:val="00F971FE"/>
    <w:rsid w:val="00F97A81"/>
    <w:rsid w:val="00F97CF8"/>
    <w:rsid w:val="00FA2CE2"/>
    <w:rsid w:val="00FB085B"/>
    <w:rsid w:val="00FB270B"/>
    <w:rsid w:val="00FB27A7"/>
    <w:rsid w:val="00FB44B1"/>
    <w:rsid w:val="00FB5ADB"/>
    <w:rsid w:val="00FB7FFE"/>
    <w:rsid w:val="00FC2240"/>
    <w:rsid w:val="00FC6D21"/>
    <w:rsid w:val="00FD559D"/>
    <w:rsid w:val="00FE0382"/>
    <w:rsid w:val="00FE5FFC"/>
    <w:rsid w:val="00FF1CDA"/>
    <w:rsid w:val="00FF4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6A0B7"/>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unhideWhenUsed/>
    <w:qFormat/>
    <w:rsid w:val="00436640"/>
    <w:pPr>
      <w:spacing w:after="0" w:line="240" w:lineRule="auto"/>
    </w:pPr>
    <w:rPr>
      <w:sz w:val="20"/>
      <w:szCs w:val="20"/>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qFormat/>
    <w:rsid w:val="00436640"/>
    <w:rPr>
      <w:sz w:val="20"/>
      <w:szCs w:val="20"/>
    </w:rPr>
  </w:style>
  <w:style w:type="character" w:styleId="FootnoteReference">
    <w:name w:val="footnote reference"/>
    <w:aliases w:val="BVI fnr,16 Point,Superscript 6 Point"/>
    <w:basedOn w:val="DefaultParagraphFont"/>
    <w:uiPriority w:val="99"/>
    <w:unhideWhenUsed/>
    <w:qFormat/>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67738">
      <w:bodyDiv w:val="1"/>
      <w:marLeft w:val="0"/>
      <w:marRight w:val="0"/>
      <w:marTop w:val="0"/>
      <w:marBottom w:val="0"/>
      <w:divBdr>
        <w:top w:val="none" w:sz="0" w:space="0" w:color="auto"/>
        <w:left w:val="none" w:sz="0" w:space="0" w:color="auto"/>
        <w:bottom w:val="none" w:sz="0" w:space="0" w:color="auto"/>
        <w:right w:val="none" w:sz="0" w:space="0" w:color="auto"/>
      </w:divBdr>
    </w:div>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6644B-76F1-446D-BF31-7A96E3D23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6361</Words>
  <Characters>36264</Characters>
  <Application>Microsoft Office Word</Application>
  <DocSecurity>0</DocSecurity>
  <Lines>302</Lines>
  <Paragraphs>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Anita Memić</cp:lastModifiedBy>
  <cp:revision>3</cp:revision>
  <cp:lastPrinted>2024-10-02T13:42:00Z</cp:lastPrinted>
  <dcterms:created xsi:type="dcterms:W3CDTF">2024-10-02T11:07:00Z</dcterms:created>
  <dcterms:modified xsi:type="dcterms:W3CDTF">2024-10-02T13:42:00Z</dcterms:modified>
</cp:coreProperties>
</file>