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6EE" w:rsidRDefault="00543370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t>OBRAZLOŽENJE IZVRŠENJA FINANCIJSKOG PLANA FONDA ZA ZAŠTITU OKOLIŠA I ENERGETSKU UČINKOVITOST ZA PRVO POLUGODIŠTE 2024. GODINE</w:t>
      </w:r>
    </w:p>
    <w:p w:rsidR="007636EE" w:rsidRDefault="00543370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UVOD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Fond za zaštitu okoliša i energetsku učinkovitost (u daljnjem tekstu: Fond) osnovan je kao izvanproračunski fond u svojstvu pravne osobe s javnim ovlastima na temelju Zakona o Fondu za zaštitu okoliša i energetsku učinkovitost (NN 107/03 i 144/12), (u daljnjem tekstu: Zakon o Fondu).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Zakonom o proračunu (NN 144/21) i Pravilnikom o polugodišnjem i godišnjem izvještaju o izvršenju proračuna i financijskog plana (NN 85/23) propisana je obveza sastavljanja polugodišnjeg izvještaja o izvršenju financijskog plana te njegova podnošenja na donošenje Hrvatskom saboru.</w:t>
      </w:r>
    </w:p>
    <w:p w:rsidR="007636EE" w:rsidRDefault="00543370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18"/>
        <w:gridCol w:w="1553"/>
        <w:gridCol w:w="1553"/>
        <w:gridCol w:w="1552"/>
        <w:gridCol w:w="971"/>
        <w:gridCol w:w="971"/>
      </w:tblGrid>
      <w:tr w:rsidR="007636EE">
        <w:tc>
          <w:tcPr>
            <w:tcW w:w="14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2024.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7636EE">
        <w:tc>
          <w:tcPr>
            <w:tcW w:w="14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7636EE">
        <w:tc>
          <w:tcPr>
            <w:tcW w:w="1400" w:type="pct"/>
            <w:vAlign w:val="bottom"/>
          </w:tcPr>
          <w:p w:rsidR="007636EE" w:rsidRDefault="0054337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6 PRIHODI POSLOVANJA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185.050.448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393.980.714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185.415.233</w:t>
            </w:r>
          </w:p>
        </w:tc>
        <w:tc>
          <w:tcPr>
            <w:tcW w:w="5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100,2</w:t>
            </w:r>
          </w:p>
        </w:tc>
        <w:tc>
          <w:tcPr>
            <w:tcW w:w="5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47,1</w:t>
            </w:r>
          </w:p>
        </w:tc>
      </w:tr>
      <w:tr w:rsidR="007636EE">
        <w:tc>
          <w:tcPr>
            <w:tcW w:w="1400" w:type="pct"/>
            <w:vAlign w:val="bottom"/>
          </w:tcPr>
          <w:p w:rsidR="007636EE" w:rsidRDefault="0054337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7 PRIHODI OD PRODAJE NEFINANCIJSKE IMOVINE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226</w:t>
            </w:r>
          </w:p>
        </w:tc>
        <w:tc>
          <w:tcPr>
            <w:tcW w:w="500" w:type="pct"/>
            <w:vAlign w:val="bottom"/>
          </w:tcPr>
          <w:p w:rsidR="007636EE" w:rsidRDefault="007636EE">
            <w:pPr>
              <w:spacing w:after="0" w:line="240" w:lineRule="auto"/>
              <w:jc w:val="right"/>
            </w:pPr>
          </w:p>
        </w:tc>
        <w:tc>
          <w:tcPr>
            <w:tcW w:w="500" w:type="pct"/>
            <w:vAlign w:val="bottom"/>
          </w:tcPr>
          <w:p w:rsidR="007636EE" w:rsidRDefault="007636EE">
            <w:pPr>
              <w:spacing w:after="0" w:line="240" w:lineRule="auto"/>
              <w:jc w:val="right"/>
            </w:pPr>
          </w:p>
        </w:tc>
      </w:tr>
      <w:tr w:rsidR="007636EE">
        <w:tc>
          <w:tcPr>
            <w:tcW w:w="1400" w:type="pct"/>
            <w:vAlign w:val="bottom"/>
          </w:tcPr>
          <w:p w:rsidR="007636EE" w:rsidRDefault="0054337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185.050.448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393.980.714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185.415.458</w:t>
            </w:r>
          </w:p>
        </w:tc>
        <w:tc>
          <w:tcPr>
            <w:tcW w:w="5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100,2</w:t>
            </w:r>
          </w:p>
        </w:tc>
        <w:tc>
          <w:tcPr>
            <w:tcW w:w="5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47,1</w:t>
            </w:r>
          </w:p>
        </w:tc>
      </w:tr>
    </w:tbl>
    <w:p w:rsidR="007636EE" w:rsidRDefault="007636EE">
      <w:pPr>
        <w:spacing w:after="0" w:line="240" w:lineRule="auto"/>
      </w:pP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Prihodi Fonda u razdoblju I.-VI. 2024. godine ostvareni su u iznosu od 185.415.458,44 EUR ili 47,06% godišnjeg plana te su unatoč smanjenom ostvarenju pomoći iz inozemstva i subjekata unutar općeg proračuna veći od prihoda u istom razdoblju 2023. godine za 365.010,50 EUR odnosno za 0,20%, uslijed povećanog ostvarenja prihoda od imovine i prihoda s osnove upravnih i administrativnih pristojbi (naknada).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Najveći udio povećanja s osnove upravnih i administrativnih pristojbi u odnosu na isto razdoblje 2023. godine odnosi se na prihode od naknada za ambalažu i ambalažni otpad, naknada za gospodarenje otpadnim vozilima te naknada za gospodarenje EE otpadom.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Pomoći od međunarodnih organizacija ostvarene su u iznosu od 13.064,54 EUR (29,92% planiranih sredstava), a odnose se na refundaciju plaća djelatnika za rad na Projektu Interreg Monitor EE. 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Pomoći proračunu iz drugih proračuna ostvarene su u iznosu od 383.906,88 EUR (38,45% planiranih sredstava), a odnose se na dio financijskih sredstava od prodaje emisijskih jedinica stakleničkih plinova putem dražbi za pokriće administrativnih troškova Fonda. U odnosu na isto izvještajno razdoblje 2023. godine realizacija je manja za 31,39% obzirom da je radi pada cijene emisijskih jedinica ostvaren manji prihod od prodaje emisijskih jedinica u svrhu pokrića administrativnih rashoda.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lastRenderedPageBreak/>
        <w:t>Pomoći temeljem prijenosa EU sredstava ostvarene su u iznosu od 577.242,29 EUR (5,77% planiranih sredstava), a odnose se na pomoći iz državnog proračuna temeljem prijenosa EU sredstava za tehničku pomoć za rad posredničkog tijela razine 2 (PT2) u iznosu od 510.418,01 EUR te na projekt sanacije odlagališta opasnog otpada Sovjak u iznosu od 66.824,28 EUR. U odnosu na isto izvještajno razdoblje 2023. godine realizacija je manja za 69,85% prvenstveno radi sporije realizacije projekta sanacije odlagališta opasnog otpada Sovjak.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Prihodi od financijske imovine ostvareni su u iznosu od 1.214.571,28 EUR (130,73% planiranih sredstava), a odnose se na kamate na oročena sredstva i depozite po viđenju, zakonske zatezne kamate i ostale prihode od financijske imovine. U odnosu na isto izvještajno razdoblje 2023. godine realizacija je veća za 560,94% prvenstveno radi veće realizacije prihoda s osnove kamata na depozite po viđenju obzirom da je Fond ugovorio povoljniju kamatnu stopu na novčana sredstva u poslovnim bankama. 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Prihodi s osnove upravnih i administrativnih pristojbi ostvareni su u iznosu od 103.878.595,67 EUR (53,07% planiranih sredstava), a odnose se na prihode od naknada temeljem Zakona o Fondu u iznosu od 14.209.747,60 EUR, prihode od naknada temeljem Zakona o gospodarenju otpadom (NN 84/21, 142/23) u iznosu od 89.668.197,66 EUR, prihode od naknade za EU ecolabel temeljem Zakona o zaštiti okoliša (NN 80/13, 153/13, 78/15, 12/18, 118/18) u iznosu od 650,35 EUR i prihode od kontroliranih tvari temeljem Zakona o klimatskim promjenama i zaštiti ozonskog sloja (NN 127/19) u iznosu od 0,06 EUR. U odnosu na isto izvještajno razdoblje 2023. godine realizacija je veća za 13,05% prvenstveno radi veće realizacije prihoda s osnove naknada za gospodarenje posebnim kategorijama otpada s izuzetkom naknade za gospodarenje otpadnim gumama i naknade za gospodarenje otpadnim baterijama i akumulatorima na kojima je realizacija manja.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Prihodi po posebnim propisima ostvareni su u iznosu od 79.274.775,50 EUR (42,62% planiranih sredstava), a odnose se na prihode od prodaje emisijskih jedinica stakleničkih plinova putem dražbi u iznosu od 50.887.343,75 EUR, prihode iz Modernizacijskog fonda u iznosu od 7.921.182,04 EUR temeljem Zakona o klimatskim promjenama i zaštiti ozonskog sloja, prihode od nestavljanja biogoriva na tržište temeljem Zakona o biogorivima za prijevoz (NN 65/09, 145/10, 26/11, 144/12, 14/14, 94/18, 52/21) u iznosu od 13.878.883,94 EUR te prihode od viška energetskih subjekata temeljem Uredbe o zakonu o hitnoj intervenciji za rješavanje pitanja visokih cijena električne energije (NN 156/22) u iznosu od 6.587.365,77 EUR. U odnosu na isto izvještajno razdoblje 2023. godine realizacija prihoda po posebnim propisima manja je za 12,28% radi niže cijene emisijskih jedinica. 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Prihodi od prodaje proizvoda i robe te pruženih usluga i prihodi od donacija te povrati po protestiranim jamstvima ostvareni su u iznosu od 3.415,50 EUR (12,80% planiranih sredstava), a odnose se na najam prostora (parkirnih mjesta). Realizacija je identična realizaciji istog izvještajnog razdoblja 2023. godine.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Ostali prihodi ostvareni su u iznosu od 69.661,13 EUR (26,24% planiranih sredstava), a najvećim djelom se odnose na naplaćena potraživanja po sudskim presudama i manji su za 47,04% u odnosu na isto izvještajno razdoblje 2023. godine.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Prihodi od nefinancijske imovine nisu planirani, a ostvareni su u iznosu od 225,65 EUR, a odnose se na prihode od prodaje mobilnih uređaja zaposlenicima. </w:t>
      </w:r>
    </w:p>
    <w:p w:rsidR="007636EE" w:rsidRDefault="00543370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lastRenderedPageBreak/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18"/>
        <w:gridCol w:w="1553"/>
        <w:gridCol w:w="1553"/>
        <w:gridCol w:w="1552"/>
        <w:gridCol w:w="971"/>
        <w:gridCol w:w="971"/>
      </w:tblGrid>
      <w:tr w:rsidR="007636EE">
        <w:tc>
          <w:tcPr>
            <w:tcW w:w="14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IZVRŠENJE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1.-6. 2024.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7636EE">
        <w:tc>
          <w:tcPr>
            <w:tcW w:w="14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5=4/2</w:t>
            </w:r>
          </w:p>
        </w:tc>
        <w:tc>
          <w:tcPr>
            <w:tcW w:w="5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6=4/3</w:t>
            </w:r>
          </w:p>
        </w:tc>
      </w:tr>
      <w:tr w:rsidR="007636EE">
        <w:tc>
          <w:tcPr>
            <w:tcW w:w="1400" w:type="pct"/>
            <w:vAlign w:val="center"/>
          </w:tcPr>
          <w:p w:rsidR="007636EE" w:rsidRDefault="0054337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3 RASHODI POSLOVANJA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125.635.031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437.320.820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211.645.042</w:t>
            </w:r>
          </w:p>
        </w:tc>
        <w:tc>
          <w:tcPr>
            <w:tcW w:w="5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168,5</w:t>
            </w:r>
          </w:p>
        </w:tc>
        <w:tc>
          <w:tcPr>
            <w:tcW w:w="5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48,4</w:t>
            </w:r>
          </w:p>
        </w:tc>
      </w:tr>
      <w:tr w:rsidR="007636EE">
        <w:tc>
          <w:tcPr>
            <w:tcW w:w="1400" w:type="pct"/>
            <w:vAlign w:val="bottom"/>
          </w:tcPr>
          <w:p w:rsidR="007636EE" w:rsidRDefault="0054337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4 RASHODI ZA NABAVU NEFINANCIJSKE IMOVINE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500.121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1.960.157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108.846</w:t>
            </w:r>
          </w:p>
        </w:tc>
        <w:tc>
          <w:tcPr>
            <w:tcW w:w="5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21,8</w:t>
            </w:r>
          </w:p>
        </w:tc>
        <w:tc>
          <w:tcPr>
            <w:tcW w:w="5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5,6</w:t>
            </w:r>
          </w:p>
        </w:tc>
      </w:tr>
      <w:tr w:rsidR="007636EE">
        <w:tc>
          <w:tcPr>
            <w:tcW w:w="1400" w:type="pct"/>
            <w:vAlign w:val="bottom"/>
          </w:tcPr>
          <w:p w:rsidR="007636EE" w:rsidRDefault="0054337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126.135.152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439.280.977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211.753.888</w:t>
            </w:r>
          </w:p>
        </w:tc>
        <w:tc>
          <w:tcPr>
            <w:tcW w:w="5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167,9</w:t>
            </w:r>
          </w:p>
        </w:tc>
        <w:tc>
          <w:tcPr>
            <w:tcW w:w="5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48,2</w:t>
            </w:r>
          </w:p>
        </w:tc>
      </w:tr>
    </w:tbl>
    <w:p w:rsidR="007636EE" w:rsidRDefault="007636EE">
      <w:pPr>
        <w:spacing w:after="0" w:line="240" w:lineRule="auto"/>
      </w:pP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Rashodi Fonda u razdoblju I.-VI. 2024. godine ostvareni u iznosu od 211.753.887,98 EUR ili 48,20% godišnjeg plana, a sastoje se od sljedećih rashoda: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-                rashoda za zaposlene u iznosu od 6.115.300,48 EUR,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-                materijalnih rashoda u iznosu od 68.114.345,11 EUR,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-                financijskih rashoda u iznosu od 14.752,71 EUR,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-                subvencija u iznosu od 18.711.118,25 EUR,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-                pomoći danih u inozemstvo i unutar općeg proračuna u iznosu od 12.698.822,00 EUR,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-                naknada građanima i kućanstvima u iznosu od 3.245,00 EUR,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-                ostalih rashoda u iznosu od 105.987.458,37 EUR,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-                rashoda za nabavu nefinancijske imovine u iznosu od 108.846,06 EUR.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Rashodi poslovanja povećali su se za 86.010.010,57 EUR ili 68,46% u odnosu na isto izvještajno razdoblje 2023. godine, a najveća promjena odnosi se na povećanje na podskupini subvencija i ostalih rashoda (donacije građanima i kućanstvima) dok su se pomoći dane u inozemstvo i unutar općeg proračuna smanjile, a sve zbog provedbe Odluke Vlade Republike Hrvatske o subvencioniranju dijela krajnje cijene opskrbe plinom za krajnje kupce kategorije kućanstvo te krajnje kupce koji nisu kućanstvo s godišnjom potrošnjom plina do 10 GWh od 16. ožujka 2023. godine (NN 31/23) u cilju ublažavanja porasta cijene plina i sprečavanja izloženosti građana energetskom siromaštvu temeljem koje je u prvom polugodištu 2024. godine po spomenutoj Odluci isplaćeno više sredstava nego u prvom polugodištu 2023. godine.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Rashodi za nabavu nefinancijske imovine ostvareni su u iznosu od 108.846,06 EUR ili 5,55% godišnjeg plana, a odnose se na rashode za nabavu proizvedene dugotrajne imovine i to: 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-                uredsku opremu i namještaj u iznosu od 59.369,78 EUR,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-                komunikacijsku opremu u iznosu od 1.697,08 EUR,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-                ulaganja u računalne programe u iznosu od 47.779,20 EUR.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Rashodi za nabavu nefinancijske imovine manji su za 391.274,44 EUR ili 78,24% u odnosu na isto izvještajno razdoblje 2023. godine iz razloga što su manja ulaganja u računalne programe. 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Unatoč smanjenju rashoda za nabavu nefinancijske imovine, ukupni rashodi veći su za 85.618.736,13 EUR odnosno 67,88% od rashoda istog perioda 2023. godine.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lastRenderedPageBreak/>
        <w:t>U strukturi ukupno izvršenih rashoda za I.-VI. 2024. godine udjel rashoda poslovanja iznosi 99,95% dok na rashode za nabavu nefinancijske imovine otpada 0,05%.</w:t>
      </w:r>
    </w:p>
    <w:p w:rsidR="007636EE" w:rsidRDefault="00543370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br/>
        <w:t>RAČUN FINANCIRANJA</w:t>
      </w:r>
    </w:p>
    <w:p w:rsidR="007636EE" w:rsidRDefault="00543370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prihoda i rashoda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658"/>
        <w:gridCol w:w="1864"/>
        <w:gridCol w:w="1864"/>
        <w:gridCol w:w="932"/>
      </w:tblGrid>
      <w:tr w:rsidR="007636EE">
        <w:tc>
          <w:tcPr>
            <w:tcW w:w="25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2024.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7636EE">
        <w:tc>
          <w:tcPr>
            <w:tcW w:w="25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7636EE">
        <w:tc>
          <w:tcPr>
            <w:tcW w:w="2500" w:type="pct"/>
            <w:vAlign w:val="center"/>
          </w:tcPr>
          <w:p w:rsidR="007636EE" w:rsidRDefault="0054337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PRIHODI</w:t>
            </w:r>
          </w:p>
        </w:tc>
        <w:tc>
          <w:tcPr>
            <w:tcW w:w="10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393.980.714</w:t>
            </w:r>
          </w:p>
        </w:tc>
        <w:tc>
          <w:tcPr>
            <w:tcW w:w="10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185.415.458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47,1</w:t>
            </w:r>
          </w:p>
        </w:tc>
      </w:tr>
      <w:tr w:rsidR="007636EE">
        <w:tc>
          <w:tcPr>
            <w:tcW w:w="2500" w:type="pct"/>
            <w:vAlign w:val="bottom"/>
          </w:tcPr>
          <w:p w:rsidR="007636EE" w:rsidRDefault="0054337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UKUPNI RASHODI</w:t>
            </w:r>
          </w:p>
        </w:tc>
        <w:tc>
          <w:tcPr>
            <w:tcW w:w="10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439.280.977</w:t>
            </w:r>
          </w:p>
        </w:tc>
        <w:tc>
          <w:tcPr>
            <w:tcW w:w="10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211.753.888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48,2</w:t>
            </w:r>
          </w:p>
        </w:tc>
      </w:tr>
      <w:tr w:rsidR="007636EE">
        <w:tc>
          <w:tcPr>
            <w:tcW w:w="2500" w:type="pct"/>
            <w:vAlign w:val="bottom"/>
          </w:tcPr>
          <w:p w:rsidR="007636EE" w:rsidRDefault="0054337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- VIŠAK/MANJAK</w:t>
            </w:r>
          </w:p>
        </w:tc>
        <w:tc>
          <w:tcPr>
            <w:tcW w:w="10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-45.300.263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-26.338.430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58,1</w:t>
            </w:r>
          </w:p>
        </w:tc>
      </w:tr>
    </w:tbl>
    <w:p w:rsidR="007636EE" w:rsidRDefault="007636EE">
      <w:pPr>
        <w:spacing w:after="0" w:line="240" w:lineRule="auto"/>
      </w:pPr>
    </w:p>
    <w:p w:rsidR="007636EE" w:rsidRDefault="00543370">
      <w:pPr>
        <w:spacing w:line="360" w:lineRule="auto"/>
      </w:pPr>
      <w:r>
        <w:rPr>
          <w:rFonts w:ascii="Times New Roman" w:hAnsi="Times New Roman" w:cs="Times New Roman"/>
          <w:b/>
          <w:sz w:val="24"/>
          <w:u w:val="single"/>
        </w:rPr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658"/>
        <w:gridCol w:w="1864"/>
        <w:gridCol w:w="1864"/>
        <w:gridCol w:w="932"/>
      </w:tblGrid>
      <w:tr w:rsidR="007636EE">
        <w:tc>
          <w:tcPr>
            <w:tcW w:w="25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BROJČANA OZNAKA I NAZIV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PLAN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2024.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OSTVARENJE/</w:t>
            </w:r>
            <w:r>
              <w:rPr>
                <w:rFonts w:ascii="Times New Roman" w:hAnsi="Times New Roman" w:cs="Times New Roman"/>
                <w:b/>
                <w:sz w:val="18"/>
              </w:rPr>
              <w:br/>
              <w:t>IZVRŠENJE 1.-6. 2024.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</w:rPr>
              <w:t>INDEKS</w:t>
            </w:r>
          </w:p>
        </w:tc>
      </w:tr>
      <w:tr w:rsidR="007636EE">
        <w:tc>
          <w:tcPr>
            <w:tcW w:w="25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</w:p>
        </w:tc>
        <w:tc>
          <w:tcPr>
            <w:tcW w:w="10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3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7636EE" w:rsidRDefault="005433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4"/>
              </w:rPr>
              <w:t>4=3/2</w:t>
            </w:r>
          </w:p>
        </w:tc>
      </w:tr>
      <w:tr w:rsidR="007636EE">
        <w:tc>
          <w:tcPr>
            <w:tcW w:w="2500" w:type="pct"/>
            <w:vAlign w:val="center"/>
          </w:tcPr>
          <w:p w:rsidR="007636EE" w:rsidRDefault="0054337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8 PRIMICI OD FINANCIJSKE IMOVINE I ZADUŽIVANJA</w:t>
            </w:r>
          </w:p>
        </w:tc>
        <w:tc>
          <w:tcPr>
            <w:tcW w:w="10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26.545</w:t>
            </w:r>
          </w:p>
        </w:tc>
        <w:tc>
          <w:tcPr>
            <w:tcW w:w="10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4.705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17,7</w:t>
            </w:r>
          </w:p>
        </w:tc>
      </w:tr>
      <w:tr w:rsidR="007636EE">
        <w:tc>
          <w:tcPr>
            <w:tcW w:w="2500" w:type="pct"/>
            <w:vAlign w:val="bottom"/>
          </w:tcPr>
          <w:p w:rsidR="007636EE" w:rsidRDefault="0054337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5 IZDACI ZA FINANCIJSKU IMOVINU I OTPLATE ZAJMOVA</w:t>
            </w:r>
          </w:p>
        </w:tc>
        <w:tc>
          <w:tcPr>
            <w:tcW w:w="10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0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7636EE" w:rsidRDefault="007636EE">
            <w:pPr>
              <w:spacing w:after="0" w:line="240" w:lineRule="auto"/>
              <w:jc w:val="right"/>
            </w:pPr>
          </w:p>
        </w:tc>
      </w:tr>
      <w:tr w:rsidR="007636EE">
        <w:tc>
          <w:tcPr>
            <w:tcW w:w="2500" w:type="pct"/>
            <w:vAlign w:val="bottom"/>
          </w:tcPr>
          <w:p w:rsidR="007636EE" w:rsidRDefault="0054337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RAZLIKA PRIMITAKA I IZDATAKA</w:t>
            </w:r>
          </w:p>
        </w:tc>
        <w:tc>
          <w:tcPr>
            <w:tcW w:w="10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26.545</w:t>
            </w:r>
          </w:p>
        </w:tc>
        <w:tc>
          <w:tcPr>
            <w:tcW w:w="10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4.705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17,7</w:t>
            </w:r>
          </w:p>
        </w:tc>
      </w:tr>
      <w:tr w:rsidR="007636EE">
        <w:tc>
          <w:tcPr>
            <w:tcW w:w="2500" w:type="pct"/>
            <w:vAlign w:val="bottom"/>
          </w:tcPr>
          <w:p w:rsidR="007636EE" w:rsidRDefault="0054337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IZ PRETHODNE GODINE</w:t>
            </w:r>
          </w:p>
        </w:tc>
        <w:tc>
          <w:tcPr>
            <w:tcW w:w="10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416.770.641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467.335.624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112,1</w:t>
            </w:r>
          </w:p>
        </w:tc>
      </w:tr>
      <w:tr w:rsidR="007636EE">
        <w:tc>
          <w:tcPr>
            <w:tcW w:w="2500" w:type="pct"/>
            <w:vAlign w:val="bottom"/>
          </w:tcPr>
          <w:p w:rsidR="007636EE" w:rsidRDefault="0054337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PRIJENOS SREDSTAVA U SLJEDEĆE RAZDOBLJE</w:t>
            </w:r>
          </w:p>
        </w:tc>
        <w:tc>
          <w:tcPr>
            <w:tcW w:w="10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-371.496.923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-441.001.900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118,7</w:t>
            </w:r>
          </w:p>
        </w:tc>
      </w:tr>
      <w:tr w:rsidR="007636EE">
        <w:tc>
          <w:tcPr>
            <w:tcW w:w="2500" w:type="pct"/>
            <w:vAlign w:val="bottom"/>
          </w:tcPr>
          <w:p w:rsidR="007636EE" w:rsidRDefault="0054337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18"/>
              </w:rPr>
              <w:t>NETO FINANCIRANJE</w:t>
            </w:r>
          </w:p>
        </w:tc>
        <w:tc>
          <w:tcPr>
            <w:tcW w:w="10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45.300.263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26.338.430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18"/>
              </w:rPr>
              <w:t>58,1</w:t>
            </w:r>
          </w:p>
        </w:tc>
      </w:tr>
      <w:tr w:rsidR="007636EE">
        <w:tc>
          <w:tcPr>
            <w:tcW w:w="2500" w:type="pct"/>
            <w:vAlign w:val="bottom"/>
          </w:tcPr>
          <w:p w:rsidR="007636EE" w:rsidRDefault="00543370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18"/>
              </w:rPr>
              <w:t>VIŠAK/MANJAK + NETO FINANCIRANJE</w:t>
            </w:r>
          </w:p>
        </w:tc>
        <w:tc>
          <w:tcPr>
            <w:tcW w:w="10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7636EE" w:rsidRDefault="00543370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7636EE" w:rsidRDefault="007636EE">
            <w:pPr>
              <w:spacing w:after="0" w:line="240" w:lineRule="auto"/>
              <w:jc w:val="right"/>
            </w:pPr>
          </w:p>
        </w:tc>
      </w:tr>
    </w:tbl>
    <w:p w:rsidR="007636EE" w:rsidRDefault="007636EE">
      <w:pPr>
        <w:spacing w:after="0" w:line="240" w:lineRule="auto"/>
      </w:pP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Primici od financijske imovine i zaduživanja ostvareni su u iznosu od 4.705,40 EUR (17,73%), a odnose se na povrate zajmova danih tuzemnim trgovačkim društvima izvan javnog sektora. 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U odnosu na isto izvještajno razdoblje 2023. godine realizacija je veća za 66,67%.</w:t>
      </w:r>
    </w:p>
    <w:p w:rsidR="007636EE" w:rsidRPr="00543370" w:rsidRDefault="00543370">
      <w:pPr>
        <w:spacing w:line="240" w:lineRule="auto"/>
        <w:jc w:val="both"/>
      </w:pPr>
      <w:bookmarkStart w:id="0" w:name="_GoBack"/>
      <w:bookmarkEnd w:id="0"/>
      <w:r w:rsidRPr="00543370">
        <w:rPr>
          <w:rFonts w:ascii="Times New Roman" w:hAnsi="Times New Roman" w:cs="Times New Roman"/>
          <w:sz w:val="24"/>
        </w:rPr>
        <w:t xml:space="preserve">PRIJENOS SREDSTAVA 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Sukladno Uputi o primjeni modificiranog novčanog načela u postupku planiranja i izvršavanja državnog proračuna i financijskih planova izvanproračunskih korisnika državnog proračuna u izvještajnom razdoblju ostvareni su ukupni prihodi i primici u iznosu od 185.420.163,84 EUR, rashodi u iznosu od 211.753.887,98 EUR pa je ostvaren manjak prihoda i primitaka tekućeg razdoblja u iznosu od 26.333.724,14 EUR koji s prijenosom sredstava iz prethodne godine u iznosu od 467.335.623,72 EUR čini prijenos sredstava u sljedeće razdoblje u iznosu od 441.001.899,58 EUR, za pokriće već preuzetih obveza odnosno aktivnosti sukladno zakonskim propisima i odlukama/zaključcima Vlade Republike Hrvatske. Ostvareni višak prihoda i primitaka odnosi se najvećim djelom na prihode od prodaje emisijskih jedinica stakleničkih plinova putem dražbi temeljem Zakona o klimatskim promjenama i zaštiti ozonskog sloja te prihode od naknada temeljem Zakona o gospodarenju otpadom.</w:t>
      </w:r>
    </w:p>
    <w:p w:rsidR="007636EE" w:rsidRDefault="00543370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lastRenderedPageBreak/>
        <w:br/>
        <w:t>IZVJEŠTAJ O ZADUŽIVANJU NA DOMAĆEM I STRANOM TRŽIŠTU NOVCA I KAPITALA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Fond se u izvještajnom razdoblju nije zaduživao na domaćem i stranom tržištu novca i kapitala.</w:t>
      </w:r>
      <w:r>
        <w:rPr>
          <w:rFonts w:ascii="Times New Roman" w:hAnsi="Times New Roman" w:cs="Times New Roman"/>
          <w:sz w:val="24"/>
        </w:rPr>
        <w:br/>
      </w:r>
    </w:p>
    <w:p w:rsidR="007636EE" w:rsidRDefault="00543370">
      <w:pPr>
        <w:spacing w:line="360" w:lineRule="auto"/>
        <w:jc w:val="center"/>
      </w:pPr>
      <w:r>
        <w:rPr>
          <w:rFonts w:ascii="Times New Roman" w:hAnsi="Times New Roman" w:cs="Times New Roman"/>
          <w:b/>
          <w:sz w:val="24"/>
        </w:rPr>
        <w:br/>
        <w:t xml:space="preserve">IZVJEŠTAJ O DANIM JAMSTVIMA I PLAĆANJIMA PO PROTESTIRANIM JAMSTVIMA </w:t>
      </w:r>
    </w:p>
    <w:p w:rsidR="007636EE" w:rsidRDefault="00543370">
      <w:pPr>
        <w:spacing w:line="240" w:lineRule="auto"/>
        <w:jc w:val="both"/>
      </w:pPr>
      <w:r>
        <w:rPr>
          <w:rFonts w:ascii="Times New Roman" w:hAnsi="Times New Roman" w:cs="Times New Roman"/>
          <w:sz w:val="24"/>
        </w:rPr>
        <w:t>Fond u izvještajnom razdoblju nije izdao jamstva niti izvršio plaćanja po protestiranim jamstvima.</w:t>
      </w:r>
    </w:p>
    <w:sectPr w:rsidR="007636EE" w:rsidSect="00543370">
      <w:footerReference w:type="default" r:id="rId6"/>
      <w:pgSz w:w="12240" w:h="15840"/>
      <w:pgMar w:top="1417" w:right="1417" w:bottom="1417" w:left="1417" w:header="720" w:footer="720" w:gutter="0"/>
      <w:pgNumType w:start="1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370" w:rsidRDefault="00543370" w:rsidP="00543370">
      <w:pPr>
        <w:spacing w:after="0" w:line="240" w:lineRule="auto"/>
      </w:pPr>
      <w:r>
        <w:separator/>
      </w:r>
    </w:p>
  </w:endnote>
  <w:endnote w:type="continuationSeparator" w:id="0">
    <w:p w:rsidR="00543370" w:rsidRDefault="00543370" w:rsidP="00543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71716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43370" w:rsidRPr="00543370" w:rsidRDefault="00543370">
        <w:pPr>
          <w:pStyle w:val="Podnoj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4337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4337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4337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66E7C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54337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43370" w:rsidRDefault="0054337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370" w:rsidRDefault="00543370" w:rsidP="00543370">
      <w:pPr>
        <w:spacing w:after="0" w:line="240" w:lineRule="auto"/>
      </w:pPr>
      <w:r>
        <w:separator/>
      </w:r>
    </w:p>
  </w:footnote>
  <w:footnote w:type="continuationSeparator" w:id="0">
    <w:p w:rsidR="00543370" w:rsidRDefault="00543370" w:rsidP="005433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36EE"/>
    <w:rsid w:val="00543370"/>
    <w:rsid w:val="007636EE"/>
    <w:rsid w:val="00A6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7C6E4E-785B-4754-B0BA-D96DF4500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3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43370"/>
  </w:style>
  <w:style w:type="paragraph" w:styleId="Podnoje">
    <w:name w:val="footer"/>
    <w:basedOn w:val="Normal"/>
    <w:link w:val="PodnojeChar"/>
    <w:uiPriority w:val="99"/>
    <w:unhideWhenUsed/>
    <w:rsid w:val="005433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43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1640</Words>
  <Characters>9348</Characters>
  <Application>Microsoft Office Word</Application>
  <DocSecurity>0</DocSecurity>
  <Lines>77</Lines>
  <Paragraphs>21</Paragraphs>
  <ScaleCrop>false</ScaleCrop>
  <Company/>
  <LinksUpToDate>false</LinksUpToDate>
  <CharactersWithSpaces>10967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3</cp:revision>
  <dcterms:created xsi:type="dcterms:W3CDTF">2024-08-28T12:53:00Z</dcterms:created>
  <dcterms:modified xsi:type="dcterms:W3CDTF">2024-09-03T08:23:00Z</dcterms:modified>
</cp:coreProperties>
</file>