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085A" w:rsidRDefault="005448CD">
      <w:pPr>
        <w:spacing w:line="360" w:lineRule="auto"/>
        <w:jc w:val="center"/>
      </w:pPr>
      <w:r>
        <w:rPr>
          <w:rFonts w:ascii="Times New Roman" w:hAnsi="Times New Roman" w:cs="Times New Roman"/>
          <w:b/>
          <w:sz w:val="24"/>
        </w:rPr>
        <w:t>OBRAZLOŽENJE IZVRŠENJA FINANCIJSKOG PLANA HRVATSKIH AUTOCESTA ZA PRVO POLUGODIŠTE 2024. GODINE</w:t>
      </w:r>
    </w:p>
    <w:p w:rsidR="0025085A" w:rsidRDefault="005448CD">
      <w:pPr>
        <w:spacing w:line="360" w:lineRule="auto"/>
      </w:pPr>
      <w:r>
        <w:rPr>
          <w:rFonts w:ascii="Times New Roman" w:hAnsi="Times New Roman" w:cs="Times New Roman"/>
          <w:b/>
          <w:sz w:val="24"/>
          <w:u w:val="single"/>
        </w:rPr>
        <w:br/>
        <w:t>UVOD</w:t>
      </w:r>
    </w:p>
    <w:p w:rsidR="0025085A" w:rsidRDefault="005448CD">
      <w:pPr>
        <w:spacing w:line="240" w:lineRule="auto"/>
        <w:jc w:val="both"/>
      </w:pPr>
      <w:r>
        <w:rPr>
          <w:rFonts w:ascii="Times New Roman" w:hAnsi="Times New Roman" w:cs="Times New Roman"/>
          <w:color w:val="000000"/>
          <w:sz w:val="24"/>
        </w:rPr>
        <w:t xml:space="preserve">Trgovačko društvo Hrvatske autoceste d.o.o. upravlja autocestama, gradi ih, rekonstruira i održava, osim onih autocesta kojima upravlja koncesionar </w:t>
      </w:r>
      <w:r>
        <w:rPr>
          <w:rFonts w:ascii="Times New Roman" w:hAnsi="Times New Roman" w:cs="Times New Roman"/>
          <w:color w:val="000000"/>
          <w:sz w:val="24"/>
        </w:rPr>
        <w:t>prema odredbama Zakona o cestama. Hrvatske autoceste d.o.o. su u 100%-tnom vlasništvu Republike Hrvatske koja svoja prava u Skupštini Društva ostvaruje putem Vlade Republike Hrvatske.</w:t>
      </w:r>
    </w:p>
    <w:p w:rsidR="0025085A" w:rsidRDefault="005448CD">
      <w:pPr>
        <w:spacing w:line="360" w:lineRule="auto"/>
      </w:pPr>
      <w:r>
        <w:rPr>
          <w:rFonts w:ascii="Times New Roman" w:hAnsi="Times New Roman" w:cs="Times New Roman"/>
          <w:b/>
          <w:sz w:val="24"/>
          <w:u w:val="single"/>
        </w:rPr>
        <w:br/>
        <w:t>PRIHODI</w:t>
      </w:r>
    </w:p>
    <w:tbl>
      <w:tblPr>
        <w:tblW w:w="4850" w:type="pct"/>
        <w:tblInd w:w="100" w:type="dxa"/>
        <w:tblBorders>
          <w:top w:val="single" w:sz="5" w:space="0" w:color="auto"/>
          <w:left w:val="single" w:sz="5" w:space="0" w:color="auto"/>
          <w:bottom w:val="single" w:sz="5" w:space="0" w:color="auto"/>
          <w:right w:val="single" w:sz="5" w:space="0" w:color="auto"/>
          <w:insideH w:val="single" w:sz="5" w:space="0" w:color="auto"/>
          <w:insideV w:val="single" w:sz="5" w:space="0" w:color="auto"/>
        </w:tblBorders>
        <w:tblCellMar>
          <w:left w:w="100" w:type="dxa"/>
          <w:right w:w="100" w:type="dxa"/>
        </w:tblCellMar>
        <w:tblLook w:val="0000" w:firstRow="0" w:lastRow="0" w:firstColumn="0" w:lastColumn="0" w:noHBand="0" w:noVBand="0"/>
      </w:tblPr>
      <w:tblGrid>
        <w:gridCol w:w="2718"/>
        <w:gridCol w:w="1553"/>
        <w:gridCol w:w="1553"/>
        <w:gridCol w:w="1552"/>
        <w:gridCol w:w="971"/>
        <w:gridCol w:w="971"/>
      </w:tblGrid>
      <w:tr w:rsidR="0025085A">
        <w:tc>
          <w:tcPr>
            <w:tcW w:w="1400" w:type="pct"/>
            <w:shd w:val="clear" w:color="auto" w:fill="BCDFFB"/>
            <w:vAlign w:val="center"/>
          </w:tcPr>
          <w:p w:rsidR="0025085A" w:rsidRDefault="005448CD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sz w:val="18"/>
              </w:rPr>
              <w:t>BROJČANA OZNAKA I NAZIV</w:t>
            </w:r>
          </w:p>
        </w:tc>
        <w:tc>
          <w:tcPr>
            <w:tcW w:w="800" w:type="pct"/>
            <w:shd w:val="clear" w:color="auto" w:fill="BCDFFB"/>
            <w:vAlign w:val="center"/>
          </w:tcPr>
          <w:p w:rsidR="0025085A" w:rsidRDefault="005448CD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sz w:val="18"/>
              </w:rPr>
              <w:t>OSTVARENJE</w:t>
            </w:r>
            <w:r>
              <w:rPr>
                <w:rFonts w:ascii="Times New Roman" w:hAnsi="Times New Roman" w:cs="Times New Roman"/>
                <w:b/>
                <w:sz w:val="18"/>
              </w:rPr>
              <w:br/>
              <w:t>1.-6. 2023.</w:t>
            </w:r>
          </w:p>
        </w:tc>
        <w:tc>
          <w:tcPr>
            <w:tcW w:w="800" w:type="pct"/>
            <w:shd w:val="clear" w:color="auto" w:fill="BCDFFB"/>
            <w:vAlign w:val="center"/>
          </w:tcPr>
          <w:p w:rsidR="0025085A" w:rsidRDefault="005448CD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sz w:val="18"/>
              </w:rPr>
              <w:t>PLAN</w:t>
            </w:r>
            <w:r>
              <w:rPr>
                <w:rFonts w:ascii="Times New Roman" w:hAnsi="Times New Roman" w:cs="Times New Roman"/>
                <w:b/>
                <w:sz w:val="18"/>
              </w:rPr>
              <w:br/>
              <w:t>2024.</w:t>
            </w:r>
          </w:p>
        </w:tc>
        <w:tc>
          <w:tcPr>
            <w:tcW w:w="800" w:type="pct"/>
            <w:shd w:val="clear" w:color="auto" w:fill="BCDFFB"/>
            <w:vAlign w:val="center"/>
          </w:tcPr>
          <w:p w:rsidR="0025085A" w:rsidRDefault="005448CD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sz w:val="18"/>
              </w:rPr>
              <w:t>OSTVA</w:t>
            </w:r>
            <w:r>
              <w:rPr>
                <w:rFonts w:ascii="Times New Roman" w:hAnsi="Times New Roman" w:cs="Times New Roman"/>
                <w:b/>
                <w:sz w:val="18"/>
              </w:rPr>
              <w:t>RENJE</w:t>
            </w:r>
            <w:r>
              <w:rPr>
                <w:rFonts w:ascii="Times New Roman" w:hAnsi="Times New Roman" w:cs="Times New Roman"/>
                <w:b/>
                <w:sz w:val="18"/>
              </w:rPr>
              <w:br/>
              <w:t>1.-6. 2024.</w:t>
            </w:r>
          </w:p>
        </w:tc>
        <w:tc>
          <w:tcPr>
            <w:tcW w:w="500" w:type="pct"/>
            <w:shd w:val="clear" w:color="auto" w:fill="BCDFFB"/>
            <w:vAlign w:val="center"/>
          </w:tcPr>
          <w:p w:rsidR="0025085A" w:rsidRDefault="005448CD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sz w:val="18"/>
              </w:rPr>
              <w:t>INDEKS</w:t>
            </w:r>
          </w:p>
        </w:tc>
        <w:tc>
          <w:tcPr>
            <w:tcW w:w="500" w:type="pct"/>
            <w:shd w:val="clear" w:color="auto" w:fill="BCDFFB"/>
            <w:vAlign w:val="center"/>
          </w:tcPr>
          <w:p w:rsidR="0025085A" w:rsidRDefault="005448CD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sz w:val="18"/>
              </w:rPr>
              <w:t>INDEKS</w:t>
            </w:r>
          </w:p>
        </w:tc>
      </w:tr>
      <w:tr w:rsidR="0025085A">
        <w:tc>
          <w:tcPr>
            <w:tcW w:w="1400" w:type="pct"/>
            <w:shd w:val="clear" w:color="auto" w:fill="BCDFFB"/>
            <w:vAlign w:val="center"/>
          </w:tcPr>
          <w:p w:rsidR="0025085A" w:rsidRDefault="005448CD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800" w:type="pct"/>
            <w:shd w:val="clear" w:color="auto" w:fill="BCDFFB"/>
            <w:vAlign w:val="center"/>
          </w:tcPr>
          <w:p w:rsidR="0025085A" w:rsidRDefault="005448CD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14"/>
              </w:rPr>
              <w:t>2</w:t>
            </w:r>
          </w:p>
        </w:tc>
        <w:tc>
          <w:tcPr>
            <w:tcW w:w="800" w:type="pct"/>
            <w:shd w:val="clear" w:color="auto" w:fill="BCDFFB"/>
            <w:vAlign w:val="center"/>
          </w:tcPr>
          <w:p w:rsidR="0025085A" w:rsidRDefault="005448CD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14"/>
              </w:rPr>
              <w:t>3</w:t>
            </w:r>
          </w:p>
        </w:tc>
        <w:tc>
          <w:tcPr>
            <w:tcW w:w="800" w:type="pct"/>
            <w:shd w:val="clear" w:color="auto" w:fill="BCDFFB"/>
            <w:vAlign w:val="center"/>
          </w:tcPr>
          <w:p w:rsidR="0025085A" w:rsidRDefault="005448CD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14"/>
              </w:rPr>
              <w:t>4</w:t>
            </w:r>
          </w:p>
        </w:tc>
        <w:tc>
          <w:tcPr>
            <w:tcW w:w="500" w:type="pct"/>
            <w:shd w:val="clear" w:color="auto" w:fill="BCDFFB"/>
            <w:vAlign w:val="center"/>
          </w:tcPr>
          <w:p w:rsidR="0025085A" w:rsidRDefault="005448CD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14"/>
              </w:rPr>
              <w:t>5=4/2</w:t>
            </w:r>
          </w:p>
        </w:tc>
        <w:tc>
          <w:tcPr>
            <w:tcW w:w="500" w:type="pct"/>
            <w:shd w:val="clear" w:color="auto" w:fill="BCDFFB"/>
            <w:vAlign w:val="center"/>
          </w:tcPr>
          <w:p w:rsidR="0025085A" w:rsidRDefault="005448CD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14"/>
              </w:rPr>
              <w:t>6=4/3</w:t>
            </w:r>
          </w:p>
        </w:tc>
      </w:tr>
      <w:tr w:rsidR="0025085A">
        <w:tc>
          <w:tcPr>
            <w:tcW w:w="1400" w:type="pct"/>
            <w:vAlign w:val="bottom"/>
          </w:tcPr>
          <w:p w:rsidR="0025085A" w:rsidRDefault="005448CD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18"/>
              </w:rPr>
              <w:t>6 PRIHODI POSLOVANJA</w:t>
            </w:r>
          </w:p>
        </w:tc>
        <w:tc>
          <w:tcPr>
            <w:tcW w:w="800" w:type="pct"/>
            <w:vAlign w:val="bottom"/>
          </w:tcPr>
          <w:p w:rsidR="0025085A" w:rsidRDefault="005448CD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220.908.480</w:t>
            </w:r>
          </w:p>
        </w:tc>
        <w:tc>
          <w:tcPr>
            <w:tcW w:w="800" w:type="pct"/>
            <w:vAlign w:val="bottom"/>
          </w:tcPr>
          <w:p w:rsidR="0025085A" w:rsidRDefault="005448CD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518.169.600</w:t>
            </w:r>
          </w:p>
        </w:tc>
        <w:tc>
          <w:tcPr>
            <w:tcW w:w="800" w:type="pct"/>
            <w:vAlign w:val="bottom"/>
          </w:tcPr>
          <w:p w:rsidR="0025085A" w:rsidRDefault="005448CD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232.246.546</w:t>
            </w:r>
          </w:p>
        </w:tc>
        <w:tc>
          <w:tcPr>
            <w:tcW w:w="500" w:type="pct"/>
            <w:vAlign w:val="bottom"/>
          </w:tcPr>
          <w:p w:rsidR="0025085A" w:rsidRDefault="005448CD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105,1</w:t>
            </w:r>
          </w:p>
        </w:tc>
        <w:tc>
          <w:tcPr>
            <w:tcW w:w="500" w:type="pct"/>
            <w:vAlign w:val="bottom"/>
          </w:tcPr>
          <w:p w:rsidR="0025085A" w:rsidRDefault="005448CD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44,8</w:t>
            </w:r>
          </w:p>
        </w:tc>
      </w:tr>
      <w:tr w:rsidR="0025085A">
        <w:tc>
          <w:tcPr>
            <w:tcW w:w="1400" w:type="pct"/>
            <w:vAlign w:val="bottom"/>
          </w:tcPr>
          <w:p w:rsidR="0025085A" w:rsidRDefault="005448CD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18"/>
              </w:rPr>
              <w:t>7 PRIHODI OD PRODAJE NEFINANCIJSKE IMOVINE</w:t>
            </w:r>
          </w:p>
        </w:tc>
        <w:tc>
          <w:tcPr>
            <w:tcW w:w="800" w:type="pct"/>
            <w:vAlign w:val="bottom"/>
          </w:tcPr>
          <w:p w:rsidR="0025085A" w:rsidRDefault="005448CD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0</w:t>
            </w:r>
          </w:p>
        </w:tc>
        <w:tc>
          <w:tcPr>
            <w:tcW w:w="800" w:type="pct"/>
            <w:vAlign w:val="bottom"/>
          </w:tcPr>
          <w:p w:rsidR="0025085A" w:rsidRDefault="005448CD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0</w:t>
            </w:r>
          </w:p>
        </w:tc>
        <w:tc>
          <w:tcPr>
            <w:tcW w:w="800" w:type="pct"/>
            <w:vAlign w:val="bottom"/>
          </w:tcPr>
          <w:p w:rsidR="0025085A" w:rsidRDefault="005448CD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0</w:t>
            </w:r>
          </w:p>
        </w:tc>
        <w:tc>
          <w:tcPr>
            <w:tcW w:w="500" w:type="pct"/>
            <w:vAlign w:val="bottom"/>
          </w:tcPr>
          <w:p w:rsidR="0025085A" w:rsidRDefault="0025085A">
            <w:pPr>
              <w:spacing w:after="0" w:line="240" w:lineRule="auto"/>
              <w:jc w:val="right"/>
            </w:pPr>
          </w:p>
        </w:tc>
        <w:tc>
          <w:tcPr>
            <w:tcW w:w="500" w:type="pct"/>
            <w:vAlign w:val="bottom"/>
          </w:tcPr>
          <w:p w:rsidR="0025085A" w:rsidRDefault="0025085A">
            <w:pPr>
              <w:spacing w:after="0" w:line="240" w:lineRule="auto"/>
              <w:jc w:val="right"/>
            </w:pPr>
          </w:p>
        </w:tc>
      </w:tr>
      <w:tr w:rsidR="0025085A">
        <w:tc>
          <w:tcPr>
            <w:tcW w:w="1400" w:type="pct"/>
            <w:vAlign w:val="bottom"/>
          </w:tcPr>
          <w:p w:rsidR="0025085A" w:rsidRDefault="005448CD">
            <w:pPr>
              <w:spacing w:after="0" w:line="240" w:lineRule="auto"/>
            </w:pPr>
            <w:r>
              <w:rPr>
                <w:rFonts w:ascii="Times New Roman" w:hAnsi="Times New Roman" w:cs="Times New Roman"/>
                <w:b/>
                <w:sz w:val="18"/>
              </w:rPr>
              <w:t>UKUPNI PRIHODI</w:t>
            </w:r>
          </w:p>
        </w:tc>
        <w:tc>
          <w:tcPr>
            <w:tcW w:w="800" w:type="pct"/>
            <w:vAlign w:val="bottom"/>
          </w:tcPr>
          <w:p w:rsidR="0025085A" w:rsidRDefault="005448CD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b/>
                <w:sz w:val="18"/>
              </w:rPr>
              <w:t>220.908.480</w:t>
            </w:r>
          </w:p>
        </w:tc>
        <w:tc>
          <w:tcPr>
            <w:tcW w:w="800" w:type="pct"/>
            <w:vAlign w:val="bottom"/>
          </w:tcPr>
          <w:p w:rsidR="0025085A" w:rsidRDefault="005448CD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b/>
                <w:sz w:val="18"/>
              </w:rPr>
              <w:t>518.169.600</w:t>
            </w:r>
          </w:p>
        </w:tc>
        <w:tc>
          <w:tcPr>
            <w:tcW w:w="800" w:type="pct"/>
            <w:vAlign w:val="bottom"/>
          </w:tcPr>
          <w:p w:rsidR="0025085A" w:rsidRDefault="005448CD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b/>
                <w:sz w:val="18"/>
              </w:rPr>
              <w:t>232.246.546</w:t>
            </w:r>
          </w:p>
        </w:tc>
        <w:tc>
          <w:tcPr>
            <w:tcW w:w="500" w:type="pct"/>
            <w:vAlign w:val="bottom"/>
          </w:tcPr>
          <w:p w:rsidR="0025085A" w:rsidRDefault="005448CD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b/>
                <w:sz w:val="18"/>
              </w:rPr>
              <w:t>105,1</w:t>
            </w:r>
          </w:p>
        </w:tc>
        <w:tc>
          <w:tcPr>
            <w:tcW w:w="500" w:type="pct"/>
            <w:vAlign w:val="bottom"/>
          </w:tcPr>
          <w:p w:rsidR="0025085A" w:rsidRDefault="005448CD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b/>
                <w:sz w:val="18"/>
              </w:rPr>
              <w:t>44,8</w:t>
            </w:r>
          </w:p>
        </w:tc>
      </w:tr>
    </w:tbl>
    <w:p w:rsidR="0025085A" w:rsidRDefault="0025085A">
      <w:pPr>
        <w:spacing w:after="0" w:line="240" w:lineRule="auto"/>
      </w:pPr>
    </w:p>
    <w:p w:rsidR="0025085A" w:rsidRDefault="005448CD">
      <w:pPr>
        <w:spacing w:line="240" w:lineRule="auto"/>
        <w:ind w:right="79"/>
        <w:jc w:val="both"/>
      </w:pPr>
      <w:r>
        <w:rPr>
          <w:rFonts w:ascii="Times New Roman" w:hAnsi="Times New Roman" w:cs="Times New Roman"/>
          <w:color w:val="000000"/>
          <w:sz w:val="24"/>
        </w:rPr>
        <w:t>U prvom polugodištu 2024. godine Hrvatske autoceste d.o.o. ostvarile su prihode u visini od 232.246.546 EUR što čini 44,82% ukupno planiranih prihoda za tekuću godinu. Ostvarene Kapitalne pomoći proračunu iz drugih proračuna i izvanproračunskim korisnicima</w:t>
      </w:r>
      <w:r>
        <w:rPr>
          <w:rFonts w:ascii="Times New Roman" w:hAnsi="Times New Roman" w:cs="Times New Roman"/>
          <w:color w:val="000000"/>
          <w:sz w:val="24"/>
        </w:rPr>
        <w:t xml:space="preserve"> odnose se na kapitalne pomoći iz proračuna – naknadu od trošarina na energente koja se uplaćuje iz državnog proračuna na račun Hrvatskih autocesta d.o.o. i predstavlja sredstva kojima Republika Hrvatska financira građenje, održavanje i povrat kredita, suk</w:t>
      </w:r>
      <w:r>
        <w:rPr>
          <w:rFonts w:ascii="Times New Roman" w:hAnsi="Times New Roman" w:cs="Times New Roman"/>
          <w:color w:val="000000"/>
          <w:sz w:val="24"/>
        </w:rPr>
        <w:t>ladno čl. 94. Zakona o cestama. Naknada se uplaćuje po litri naplaćene trošarine na energente u iznosu od 0,03 EUR, najviše do iznosa koji je za te namjene osiguran u državnom proračunu za proračunsku godinu, a u promatranom razdoblju ostvarena je u iznosu</w:t>
      </w:r>
      <w:r>
        <w:rPr>
          <w:rFonts w:ascii="Times New Roman" w:hAnsi="Times New Roman" w:cs="Times New Roman"/>
          <w:color w:val="000000"/>
          <w:sz w:val="24"/>
        </w:rPr>
        <w:t xml:space="preserve"> od 40.394.139 EUR. Kapitalne pomoći od institucija i tijela EU, ostvarene u iznosu od 2.628.668 EUR, odnose se na projekte inteligentnih transportnih sustava, Crocodile 3 Croatia i X4ITS. </w:t>
      </w:r>
    </w:p>
    <w:p w:rsidR="0025085A" w:rsidRDefault="005448CD">
      <w:pPr>
        <w:spacing w:line="240" w:lineRule="auto"/>
        <w:ind w:right="79"/>
        <w:jc w:val="both"/>
      </w:pPr>
      <w:r>
        <w:rPr>
          <w:rFonts w:ascii="Times New Roman" w:hAnsi="Times New Roman" w:cs="Times New Roman"/>
          <w:color w:val="000000"/>
          <w:sz w:val="24"/>
        </w:rPr>
        <w:t>U ukupnim ostvarenim prihodima poslovanja Hrvatskih autocesta d.o.</w:t>
      </w:r>
      <w:r>
        <w:rPr>
          <w:rFonts w:ascii="Times New Roman" w:hAnsi="Times New Roman" w:cs="Times New Roman"/>
          <w:color w:val="000000"/>
          <w:sz w:val="24"/>
        </w:rPr>
        <w:t>o. najveći dio odnosi se na prihod od naplate cestarine, ostvaren u iznosu od 172.842.397 EUR, što je 10,77% više nego u istom razdoblju prethodne godine.</w:t>
      </w:r>
    </w:p>
    <w:p w:rsidR="0025085A" w:rsidRDefault="005448CD">
      <w:pPr>
        <w:spacing w:line="360" w:lineRule="auto"/>
      </w:pPr>
      <w:r>
        <w:rPr>
          <w:rFonts w:ascii="Times New Roman" w:hAnsi="Times New Roman" w:cs="Times New Roman"/>
          <w:b/>
          <w:sz w:val="24"/>
          <w:u w:val="single"/>
        </w:rPr>
        <w:br/>
        <w:t>RASHODI</w:t>
      </w:r>
    </w:p>
    <w:tbl>
      <w:tblPr>
        <w:tblW w:w="4850" w:type="pct"/>
        <w:tblInd w:w="100" w:type="dxa"/>
        <w:tblBorders>
          <w:top w:val="single" w:sz="5" w:space="0" w:color="auto"/>
          <w:left w:val="single" w:sz="5" w:space="0" w:color="auto"/>
          <w:bottom w:val="single" w:sz="5" w:space="0" w:color="auto"/>
          <w:right w:val="single" w:sz="5" w:space="0" w:color="auto"/>
          <w:insideH w:val="single" w:sz="5" w:space="0" w:color="auto"/>
          <w:insideV w:val="single" w:sz="5" w:space="0" w:color="auto"/>
        </w:tblBorders>
        <w:tblCellMar>
          <w:left w:w="100" w:type="dxa"/>
          <w:right w:w="100" w:type="dxa"/>
        </w:tblCellMar>
        <w:tblLook w:val="0000" w:firstRow="0" w:lastRow="0" w:firstColumn="0" w:lastColumn="0" w:noHBand="0" w:noVBand="0"/>
      </w:tblPr>
      <w:tblGrid>
        <w:gridCol w:w="2718"/>
        <w:gridCol w:w="1553"/>
        <w:gridCol w:w="1553"/>
        <w:gridCol w:w="1552"/>
        <w:gridCol w:w="971"/>
        <w:gridCol w:w="971"/>
      </w:tblGrid>
      <w:tr w:rsidR="0025085A">
        <w:tc>
          <w:tcPr>
            <w:tcW w:w="1400" w:type="pct"/>
            <w:shd w:val="clear" w:color="auto" w:fill="BCDFFB"/>
            <w:vAlign w:val="center"/>
          </w:tcPr>
          <w:p w:rsidR="0025085A" w:rsidRDefault="005448CD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sz w:val="18"/>
              </w:rPr>
              <w:t>BROJČANA OZNAKA I NAZIV</w:t>
            </w:r>
          </w:p>
        </w:tc>
        <w:tc>
          <w:tcPr>
            <w:tcW w:w="800" w:type="pct"/>
            <w:shd w:val="clear" w:color="auto" w:fill="BCDFFB"/>
            <w:vAlign w:val="center"/>
          </w:tcPr>
          <w:p w:rsidR="0025085A" w:rsidRDefault="005448CD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sz w:val="18"/>
              </w:rPr>
              <w:t>IZVRŠENJE</w:t>
            </w:r>
            <w:r>
              <w:rPr>
                <w:rFonts w:ascii="Times New Roman" w:hAnsi="Times New Roman" w:cs="Times New Roman"/>
                <w:b/>
                <w:sz w:val="18"/>
              </w:rPr>
              <w:br/>
              <w:t>1.-6. 2023.</w:t>
            </w:r>
          </w:p>
        </w:tc>
        <w:tc>
          <w:tcPr>
            <w:tcW w:w="800" w:type="pct"/>
            <w:shd w:val="clear" w:color="auto" w:fill="BCDFFB"/>
            <w:vAlign w:val="center"/>
          </w:tcPr>
          <w:p w:rsidR="0025085A" w:rsidRDefault="005448CD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sz w:val="18"/>
              </w:rPr>
              <w:t>PLAN</w:t>
            </w:r>
            <w:r>
              <w:rPr>
                <w:rFonts w:ascii="Times New Roman" w:hAnsi="Times New Roman" w:cs="Times New Roman"/>
                <w:b/>
                <w:sz w:val="18"/>
              </w:rPr>
              <w:br/>
              <w:t>2024.</w:t>
            </w:r>
          </w:p>
        </w:tc>
        <w:tc>
          <w:tcPr>
            <w:tcW w:w="800" w:type="pct"/>
            <w:shd w:val="clear" w:color="auto" w:fill="BCDFFB"/>
            <w:vAlign w:val="center"/>
          </w:tcPr>
          <w:p w:rsidR="0025085A" w:rsidRDefault="005448CD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sz w:val="18"/>
              </w:rPr>
              <w:t>IZVRŠENJE</w:t>
            </w:r>
            <w:r>
              <w:rPr>
                <w:rFonts w:ascii="Times New Roman" w:hAnsi="Times New Roman" w:cs="Times New Roman"/>
                <w:b/>
                <w:sz w:val="18"/>
              </w:rPr>
              <w:br/>
              <w:t>1.-6. 2024.</w:t>
            </w:r>
          </w:p>
        </w:tc>
        <w:tc>
          <w:tcPr>
            <w:tcW w:w="500" w:type="pct"/>
            <w:shd w:val="clear" w:color="auto" w:fill="BCDFFB"/>
            <w:vAlign w:val="center"/>
          </w:tcPr>
          <w:p w:rsidR="0025085A" w:rsidRDefault="005448CD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sz w:val="18"/>
              </w:rPr>
              <w:t>INDEKS</w:t>
            </w:r>
          </w:p>
        </w:tc>
        <w:tc>
          <w:tcPr>
            <w:tcW w:w="500" w:type="pct"/>
            <w:shd w:val="clear" w:color="auto" w:fill="BCDFFB"/>
            <w:vAlign w:val="center"/>
          </w:tcPr>
          <w:p w:rsidR="0025085A" w:rsidRDefault="005448CD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sz w:val="18"/>
              </w:rPr>
              <w:t>INDEKS</w:t>
            </w:r>
          </w:p>
        </w:tc>
      </w:tr>
      <w:tr w:rsidR="0025085A">
        <w:tc>
          <w:tcPr>
            <w:tcW w:w="1400" w:type="pct"/>
            <w:shd w:val="clear" w:color="auto" w:fill="BCDFFB"/>
            <w:vAlign w:val="center"/>
          </w:tcPr>
          <w:p w:rsidR="0025085A" w:rsidRDefault="005448CD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800" w:type="pct"/>
            <w:shd w:val="clear" w:color="auto" w:fill="BCDFFB"/>
            <w:vAlign w:val="center"/>
          </w:tcPr>
          <w:p w:rsidR="0025085A" w:rsidRDefault="005448CD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14"/>
              </w:rPr>
              <w:t>2</w:t>
            </w:r>
          </w:p>
        </w:tc>
        <w:tc>
          <w:tcPr>
            <w:tcW w:w="800" w:type="pct"/>
            <w:shd w:val="clear" w:color="auto" w:fill="BCDFFB"/>
            <w:vAlign w:val="center"/>
          </w:tcPr>
          <w:p w:rsidR="0025085A" w:rsidRDefault="005448CD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14"/>
              </w:rPr>
              <w:t>3</w:t>
            </w:r>
          </w:p>
        </w:tc>
        <w:tc>
          <w:tcPr>
            <w:tcW w:w="800" w:type="pct"/>
            <w:shd w:val="clear" w:color="auto" w:fill="BCDFFB"/>
            <w:vAlign w:val="center"/>
          </w:tcPr>
          <w:p w:rsidR="0025085A" w:rsidRDefault="005448CD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14"/>
              </w:rPr>
              <w:t>4</w:t>
            </w:r>
          </w:p>
        </w:tc>
        <w:tc>
          <w:tcPr>
            <w:tcW w:w="500" w:type="pct"/>
            <w:shd w:val="clear" w:color="auto" w:fill="BCDFFB"/>
            <w:vAlign w:val="center"/>
          </w:tcPr>
          <w:p w:rsidR="0025085A" w:rsidRDefault="005448CD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14"/>
              </w:rPr>
              <w:t>5=4/2</w:t>
            </w:r>
          </w:p>
        </w:tc>
        <w:tc>
          <w:tcPr>
            <w:tcW w:w="500" w:type="pct"/>
            <w:shd w:val="clear" w:color="auto" w:fill="BCDFFB"/>
            <w:vAlign w:val="center"/>
          </w:tcPr>
          <w:p w:rsidR="0025085A" w:rsidRDefault="005448CD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14"/>
              </w:rPr>
              <w:t>6=4/3</w:t>
            </w:r>
          </w:p>
        </w:tc>
      </w:tr>
      <w:tr w:rsidR="0025085A">
        <w:tc>
          <w:tcPr>
            <w:tcW w:w="1400" w:type="pct"/>
            <w:vAlign w:val="center"/>
          </w:tcPr>
          <w:p w:rsidR="0025085A" w:rsidRDefault="005448CD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18"/>
              </w:rPr>
              <w:t>3 RASHODI POSLOVANJA</w:t>
            </w:r>
          </w:p>
        </w:tc>
        <w:tc>
          <w:tcPr>
            <w:tcW w:w="800" w:type="pct"/>
            <w:vAlign w:val="bottom"/>
          </w:tcPr>
          <w:p w:rsidR="0025085A" w:rsidRDefault="005448CD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105.759.981</w:t>
            </w:r>
          </w:p>
        </w:tc>
        <w:tc>
          <w:tcPr>
            <w:tcW w:w="800" w:type="pct"/>
            <w:vAlign w:val="bottom"/>
          </w:tcPr>
          <w:p w:rsidR="0025085A" w:rsidRDefault="005448CD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259.175.301</w:t>
            </w:r>
          </w:p>
        </w:tc>
        <w:tc>
          <w:tcPr>
            <w:tcW w:w="800" w:type="pct"/>
            <w:vAlign w:val="bottom"/>
          </w:tcPr>
          <w:p w:rsidR="0025085A" w:rsidRDefault="005448CD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148.476.032</w:t>
            </w:r>
          </w:p>
        </w:tc>
        <w:tc>
          <w:tcPr>
            <w:tcW w:w="500" w:type="pct"/>
            <w:vAlign w:val="bottom"/>
          </w:tcPr>
          <w:p w:rsidR="0025085A" w:rsidRDefault="005448CD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140,4</w:t>
            </w:r>
          </w:p>
        </w:tc>
        <w:tc>
          <w:tcPr>
            <w:tcW w:w="500" w:type="pct"/>
            <w:vAlign w:val="bottom"/>
          </w:tcPr>
          <w:p w:rsidR="0025085A" w:rsidRDefault="005448CD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57,3</w:t>
            </w:r>
          </w:p>
        </w:tc>
      </w:tr>
      <w:tr w:rsidR="0025085A">
        <w:tc>
          <w:tcPr>
            <w:tcW w:w="1400" w:type="pct"/>
            <w:vAlign w:val="bottom"/>
          </w:tcPr>
          <w:p w:rsidR="0025085A" w:rsidRDefault="005448CD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18"/>
              </w:rPr>
              <w:t>4 RASHODI ZA NABAVU NEFINANCIJSKE IMOVINE</w:t>
            </w:r>
          </w:p>
        </w:tc>
        <w:tc>
          <w:tcPr>
            <w:tcW w:w="800" w:type="pct"/>
            <w:vAlign w:val="bottom"/>
          </w:tcPr>
          <w:p w:rsidR="0025085A" w:rsidRDefault="005448CD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70.789.600</w:t>
            </w:r>
          </w:p>
        </w:tc>
        <w:tc>
          <w:tcPr>
            <w:tcW w:w="800" w:type="pct"/>
            <w:vAlign w:val="bottom"/>
          </w:tcPr>
          <w:p w:rsidR="0025085A" w:rsidRDefault="005448CD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153.994.255</w:t>
            </w:r>
          </w:p>
        </w:tc>
        <w:tc>
          <w:tcPr>
            <w:tcW w:w="800" w:type="pct"/>
            <w:vAlign w:val="bottom"/>
          </w:tcPr>
          <w:p w:rsidR="0025085A" w:rsidRDefault="005448CD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69.034.780</w:t>
            </w:r>
          </w:p>
        </w:tc>
        <w:tc>
          <w:tcPr>
            <w:tcW w:w="500" w:type="pct"/>
            <w:vAlign w:val="bottom"/>
          </w:tcPr>
          <w:p w:rsidR="0025085A" w:rsidRDefault="005448CD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97,5</w:t>
            </w:r>
          </w:p>
        </w:tc>
        <w:tc>
          <w:tcPr>
            <w:tcW w:w="500" w:type="pct"/>
            <w:vAlign w:val="bottom"/>
          </w:tcPr>
          <w:p w:rsidR="0025085A" w:rsidRDefault="005448CD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44,8</w:t>
            </w:r>
          </w:p>
        </w:tc>
      </w:tr>
      <w:tr w:rsidR="0025085A">
        <w:tc>
          <w:tcPr>
            <w:tcW w:w="1400" w:type="pct"/>
            <w:vAlign w:val="bottom"/>
          </w:tcPr>
          <w:p w:rsidR="0025085A" w:rsidRDefault="005448CD">
            <w:pPr>
              <w:spacing w:after="0" w:line="240" w:lineRule="auto"/>
            </w:pPr>
            <w:r>
              <w:rPr>
                <w:rFonts w:ascii="Times New Roman" w:hAnsi="Times New Roman" w:cs="Times New Roman"/>
                <w:b/>
                <w:sz w:val="18"/>
              </w:rPr>
              <w:t>UKUPNI RASHODI</w:t>
            </w:r>
          </w:p>
        </w:tc>
        <w:tc>
          <w:tcPr>
            <w:tcW w:w="800" w:type="pct"/>
            <w:vAlign w:val="bottom"/>
          </w:tcPr>
          <w:p w:rsidR="0025085A" w:rsidRDefault="005448CD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b/>
                <w:sz w:val="18"/>
              </w:rPr>
              <w:t>176.549.581</w:t>
            </w:r>
          </w:p>
        </w:tc>
        <w:tc>
          <w:tcPr>
            <w:tcW w:w="800" w:type="pct"/>
            <w:vAlign w:val="bottom"/>
          </w:tcPr>
          <w:p w:rsidR="0025085A" w:rsidRDefault="005448CD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b/>
                <w:sz w:val="18"/>
              </w:rPr>
              <w:t>413.169.556</w:t>
            </w:r>
          </w:p>
        </w:tc>
        <w:tc>
          <w:tcPr>
            <w:tcW w:w="800" w:type="pct"/>
            <w:vAlign w:val="bottom"/>
          </w:tcPr>
          <w:p w:rsidR="0025085A" w:rsidRDefault="005448CD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b/>
                <w:sz w:val="18"/>
              </w:rPr>
              <w:t>217.510.812</w:t>
            </w:r>
          </w:p>
        </w:tc>
        <w:tc>
          <w:tcPr>
            <w:tcW w:w="500" w:type="pct"/>
            <w:vAlign w:val="bottom"/>
          </w:tcPr>
          <w:p w:rsidR="0025085A" w:rsidRDefault="005448CD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b/>
                <w:sz w:val="18"/>
              </w:rPr>
              <w:t>123,2</w:t>
            </w:r>
          </w:p>
        </w:tc>
        <w:tc>
          <w:tcPr>
            <w:tcW w:w="500" w:type="pct"/>
            <w:vAlign w:val="bottom"/>
          </w:tcPr>
          <w:p w:rsidR="0025085A" w:rsidRDefault="005448CD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b/>
                <w:sz w:val="18"/>
              </w:rPr>
              <w:t>52,6</w:t>
            </w:r>
          </w:p>
        </w:tc>
      </w:tr>
    </w:tbl>
    <w:p w:rsidR="0025085A" w:rsidRDefault="0025085A">
      <w:pPr>
        <w:spacing w:after="0" w:line="240" w:lineRule="auto"/>
      </w:pPr>
    </w:p>
    <w:p w:rsidR="0025085A" w:rsidRDefault="005448CD">
      <w:pPr>
        <w:spacing w:line="240" w:lineRule="auto"/>
        <w:ind w:right="79"/>
        <w:jc w:val="both"/>
      </w:pPr>
      <w:r>
        <w:rPr>
          <w:rFonts w:ascii="Times New Roman" w:hAnsi="Times New Roman" w:cs="Times New Roman"/>
          <w:color w:val="000000"/>
          <w:sz w:val="24"/>
        </w:rPr>
        <w:lastRenderedPageBreak/>
        <w:t>U prvom polugodištu 2024. godine Hrvatske autoceste d.o.o. ostvarile su ukupne rashode u visini od 217.510.812 EUR što čini 52,64% planiranih rashoda za tekuću godinu. Rashodi poslovanja, ostvareni u iznosu od 148.476.032 EUR ili 57,29% u odnosu na planira</w:t>
      </w:r>
      <w:r>
        <w:rPr>
          <w:rFonts w:ascii="Times New Roman" w:hAnsi="Times New Roman" w:cs="Times New Roman"/>
          <w:color w:val="000000"/>
          <w:sz w:val="24"/>
        </w:rPr>
        <w:t>ne za godinu, odnose se na rashode za zaposlene, materijalne rashode za redovno održavanje autoceste i poslovanje, financijske rashode, najvećim dijelom za kamate po primljenim kreditima te ostale rashode.</w:t>
      </w:r>
    </w:p>
    <w:p w:rsidR="0025085A" w:rsidRDefault="005448CD">
      <w:pPr>
        <w:spacing w:line="240" w:lineRule="auto"/>
        <w:ind w:right="79"/>
        <w:jc w:val="both"/>
      </w:pPr>
      <w:r>
        <w:rPr>
          <w:rFonts w:ascii="Times New Roman" w:hAnsi="Times New Roman" w:cs="Times New Roman"/>
          <w:color w:val="000000"/>
          <w:sz w:val="24"/>
        </w:rPr>
        <w:t xml:space="preserve">Rashodi za nabavu nefinancijske imovine ostvareni </w:t>
      </w:r>
      <w:r>
        <w:rPr>
          <w:rFonts w:ascii="Times New Roman" w:hAnsi="Times New Roman" w:cs="Times New Roman"/>
          <w:color w:val="000000"/>
          <w:sz w:val="24"/>
        </w:rPr>
        <w:t>su u iznosu od 69.034.780 EUR, 44,83% od planiranih za tekuću godinu, a od ukupnih ostvarenih rashoda za nabavu nefinancijske imovine na Program građenja i izvanrednog održavanja autocesta odnosi se 66.961.132 EUR</w:t>
      </w:r>
      <w:r>
        <w:rPr>
          <w:rFonts w:ascii="Times New Roman" w:hAnsi="Times New Roman" w:cs="Times New Roman"/>
          <w:sz w:val="24"/>
        </w:rPr>
        <w:t>, a preostali dio u iznosu od 2.073.648 EUR</w:t>
      </w:r>
      <w:r>
        <w:rPr>
          <w:rFonts w:ascii="Times New Roman" w:hAnsi="Times New Roman" w:cs="Times New Roman"/>
          <w:sz w:val="24"/>
        </w:rPr>
        <w:t xml:space="preserve"> čini nabava imovine Društva za potrebe redovnog održavanja i upravljanja. Rashodi za nabavu proizvedene dugotrajne imovine (građenje autocesta) uključuju aktivnosti na dovršetku izgradnje autoceste A5 Granica Republike Mađarske – Beli Manastir – Osijek – </w:t>
      </w:r>
      <w:r>
        <w:rPr>
          <w:rFonts w:ascii="Times New Roman" w:hAnsi="Times New Roman" w:cs="Times New Roman"/>
          <w:sz w:val="24"/>
        </w:rPr>
        <w:t xml:space="preserve">Svilaj, dionica od granice Republike Mađarske do Belog Manastira u duljini od 5 kilometara, izgradnju autoceste A7 Rupa – Rijeka – Žuta Lokva, sektor Križišće – Žuta Lokva, dionica od km 17+500,00 do km 25+144,55 te izgradnju autoceste A11 Zagreb – Sisak, </w:t>
      </w:r>
      <w:r>
        <w:rPr>
          <w:rFonts w:ascii="Times New Roman" w:hAnsi="Times New Roman" w:cs="Times New Roman"/>
          <w:sz w:val="24"/>
        </w:rPr>
        <w:t>dionica Lekenik – Sisak čije se puštanje u promet očekuje do kraja godine. Osim izgradnje trase autoceste u tijeku je rekonstrukcija i dogradnja čvora Orehovica na autocesti A6, a čvor Podi, izlaz Šibenik istok na autocesti A1, izgrađen je i u prometu je o</w:t>
      </w:r>
      <w:r>
        <w:rPr>
          <w:rFonts w:ascii="Times New Roman" w:hAnsi="Times New Roman" w:cs="Times New Roman"/>
          <w:sz w:val="24"/>
        </w:rPr>
        <w:t xml:space="preserve">d travnja 2024. godine. Za izgradnju autoceste A1, sektor Metković – Dubrovnik izrađuje se idejni projekt, procjena utjecaja zahvata na okoliš i studija opravdanosti. </w:t>
      </w:r>
    </w:p>
    <w:p w:rsidR="0025085A" w:rsidRDefault="005448CD">
      <w:pPr>
        <w:spacing w:line="240" w:lineRule="auto"/>
        <w:ind w:right="79"/>
        <w:jc w:val="both"/>
      </w:pPr>
      <w:r>
        <w:rPr>
          <w:rFonts w:ascii="Times New Roman" w:hAnsi="Times New Roman" w:cs="Times New Roman"/>
          <w:sz w:val="24"/>
        </w:rPr>
        <w:t>U cilju produljena vijeka trajanja imovine te poboljšanja kvalitete i sigurnosti cestovn</w:t>
      </w:r>
      <w:r>
        <w:rPr>
          <w:rFonts w:ascii="Times New Roman" w:hAnsi="Times New Roman" w:cs="Times New Roman"/>
          <w:sz w:val="24"/>
        </w:rPr>
        <w:t>og prometa kontinuirano se izvode radovi izvanrednog održavanja (Rashodi za dodatna ulaganja na nefinancijskoj imovini) koji obuhvaćaju obnovu i rekonstrukciju kolničke konstrukcije i objekata, sanacije odvodnje, prometne opreme i signalizacije, aktivnosti</w:t>
      </w:r>
      <w:r>
        <w:rPr>
          <w:rFonts w:ascii="Times New Roman" w:hAnsi="Times New Roman" w:cs="Times New Roman"/>
          <w:sz w:val="24"/>
        </w:rPr>
        <w:t xml:space="preserve"> na uvođenju inteligentnih transportnih sustava i sve ostale radove usmjerene na povećanje sigurnosti prometa i korisnika autocesta (sanacije potencijalno opasnih mjesta, zamjena promjenjive prometne signalizacije, radovi na rekonstrukciji sustava video na</w:t>
      </w:r>
      <w:r>
        <w:rPr>
          <w:rFonts w:ascii="Times New Roman" w:hAnsi="Times New Roman" w:cs="Times New Roman"/>
          <w:sz w:val="24"/>
        </w:rPr>
        <w:t>dzora i video detekcije i drugo).</w:t>
      </w:r>
    </w:p>
    <w:p w:rsidR="0025085A" w:rsidRDefault="005448CD">
      <w:pPr>
        <w:spacing w:line="360" w:lineRule="auto"/>
      </w:pPr>
      <w:bookmarkStart w:id="0" w:name="_GoBack"/>
      <w:bookmarkEnd w:id="0"/>
      <w:r>
        <w:rPr>
          <w:rFonts w:ascii="Times New Roman" w:hAnsi="Times New Roman" w:cs="Times New Roman"/>
          <w:b/>
          <w:sz w:val="24"/>
          <w:u w:val="single"/>
        </w:rPr>
        <w:br/>
        <w:t>RAČUN FINANCIRANJA</w:t>
      </w:r>
    </w:p>
    <w:p w:rsidR="0025085A" w:rsidRDefault="005448CD">
      <w:pPr>
        <w:spacing w:line="360" w:lineRule="auto"/>
      </w:pPr>
      <w:r>
        <w:rPr>
          <w:rFonts w:ascii="Times New Roman" w:hAnsi="Times New Roman" w:cs="Times New Roman"/>
          <w:b/>
          <w:sz w:val="24"/>
          <w:u w:val="single"/>
        </w:rPr>
        <w:t>Račun prihoda i rashoda</w:t>
      </w:r>
    </w:p>
    <w:tbl>
      <w:tblPr>
        <w:tblW w:w="4850" w:type="pct"/>
        <w:tblInd w:w="100" w:type="dxa"/>
        <w:tblBorders>
          <w:top w:val="single" w:sz="5" w:space="0" w:color="auto"/>
          <w:left w:val="single" w:sz="5" w:space="0" w:color="auto"/>
          <w:bottom w:val="single" w:sz="5" w:space="0" w:color="auto"/>
          <w:right w:val="single" w:sz="5" w:space="0" w:color="auto"/>
          <w:insideH w:val="single" w:sz="5" w:space="0" w:color="auto"/>
          <w:insideV w:val="single" w:sz="5" w:space="0" w:color="auto"/>
        </w:tblBorders>
        <w:tblCellMar>
          <w:left w:w="100" w:type="dxa"/>
          <w:right w:w="100" w:type="dxa"/>
        </w:tblCellMar>
        <w:tblLook w:val="0000" w:firstRow="0" w:lastRow="0" w:firstColumn="0" w:lastColumn="0" w:noHBand="0" w:noVBand="0"/>
      </w:tblPr>
      <w:tblGrid>
        <w:gridCol w:w="4658"/>
        <w:gridCol w:w="1864"/>
        <w:gridCol w:w="1864"/>
        <w:gridCol w:w="932"/>
      </w:tblGrid>
      <w:tr w:rsidR="0025085A">
        <w:tc>
          <w:tcPr>
            <w:tcW w:w="2500" w:type="pct"/>
            <w:shd w:val="clear" w:color="auto" w:fill="BCDFFB"/>
            <w:vAlign w:val="center"/>
          </w:tcPr>
          <w:p w:rsidR="0025085A" w:rsidRDefault="005448CD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sz w:val="18"/>
              </w:rPr>
              <w:t>BROJČANA OZNAKA I NAZIV</w:t>
            </w:r>
          </w:p>
        </w:tc>
        <w:tc>
          <w:tcPr>
            <w:tcW w:w="1000" w:type="pct"/>
            <w:shd w:val="clear" w:color="auto" w:fill="BCDFFB"/>
            <w:vAlign w:val="center"/>
          </w:tcPr>
          <w:p w:rsidR="0025085A" w:rsidRDefault="005448CD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sz w:val="18"/>
              </w:rPr>
              <w:t>PLAN</w:t>
            </w:r>
            <w:r>
              <w:rPr>
                <w:rFonts w:ascii="Times New Roman" w:hAnsi="Times New Roman" w:cs="Times New Roman"/>
                <w:b/>
                <w:sz w:val="18"/>
              </w:rPr>
              <w:br/>
              <w:t>2024.</w:t>
            </w:r>
          </w:p>
        </w:tc>
        <w:tc>
          <w:tcPr>
            <w:tcW w:w="1000" w:type="pct"/>
            <w:shd w:val="clear" w:color="auto" w:fill="BCDFFB"/>
            <w:vAlign w:val="center"/>
          </w:tcPr>
          <w:p w:rsidR="0025085A" w:rsidRDefault="005448CD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sz w:val="18"/>
              </w:rPr>
              <w:t>OSTVARENJE/</w:t>
            </w:r>
            <w:r>
              <w:rPr>
                <w:rFonts w:ascii="Times New Roman" w:hAnsi="Times New Roman" w:cs="Times New Roman"/>
                <w:b/>
                <w:sz w:val="18"/>
              </w:rPr>
              <w:br/>
              <w:t>IZVRŠENJE 1.-6. 2024.</w:t>
            </w:r>
          </w:p>
        </w:tc>
        <w:tc>
          <w:tcPr>
            <w:tcW w:w="800" w:type="pct"/>
            <w:shd w:val="clear" w:color="auto" w:fill="BCDFFB"/>
            <w:vAlign w:val="center"/>
          </w:tcPr>
          <w:p w:rsidR="0025085A" w:rsidRDefault="005448CD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sz w:val="18"/>
              </w:rPr>
              <w:t>INDEKS</w:t>
            </w:r>
          </w:p>
        </w:tc>
      </w:tr>
      <w:tr w:rsidR="0025085A">
        <w:tc>
          <w:tcPr>
            <w:tcW w:w="2500" w:type="pct"/>
            <w:shd w:val="clear" w:color="auto" w:fill="BCDFFB"/>
            <w:vAlign w:val="center"/>
          </w:tcPr>
          <w:p w:rsidR="0025085A" w:rsidRDefault="005448CD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1000" w:type="pct"/>
            <w:shd w:val="clear" w:color="auto" w:fill="BCDFFB"/>
            <w:vAlign w:val="center"/>
          </w:tcPr>
          <w:p w:rsidR="0025085A" w:rsidRDefault="005448CD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14"/>
              </w:rPr>
              <w:t>2</w:t>
            </w:r>
          </w:p>
        </w:tc>
        <w:tc>
          <w:tcPr>
            <w:tcW w:w="1000" w:type="pct"/>
            <w:shd w:val="clear" w:color="auto" w:fill="BCDFFB"/>
            <w:vAlign w:val="center"/>
          </w:tcPr>
          <w:p w:rsidR="0025085A" w:rsidRDefault="005448CD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14"/>
              </w:rPr>
              <w:t>3</w:t>
            </w:r>
          </w:p>
        </w:tc>
        <w:tc>
          <w:tcPr>
            <w:tcW w:w="800" w:type="pct"/>
            <w:shd w:val="clear" w:color="auto" w:fill="BCDFFB"/>
            <w:vAlign w:val="center"/>
          </w:tcPr>
          <w:p w:rsidR="0025085A" w:rsidRDefault="005448CD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14"/>
              </w:rPr>
              <w:t>4=3/2</w:t>
            </w:r>
          </w:p>
        </w:tc>
      </w:tr>
      <w:tr w:rsidR="0025085A">
        <w:tc>
          <w:tcPr>
            <w:tcW w:w="2500" w:type="pct"/>
            <w:vAlign w:val="center"/>
          </w:tcPr>
          <w:p w:rsidR="0025085A" w:rsidRDefault="005448CD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18"/>
              </w:rPr>
              <w:t>UKUPNI PRIHODI</w:t>
            </w:r>
          </w:p>
        </w:tc>
        <w:tc>
          <w:tcPr>
            <w:tcW w:w="1000" w:type="pct"/>
            <w:vAlign w:val="bottom"/>
          </w:tcPr>
          <w:p w:rsidR="0025085A" w:rsidRDefault="005448CD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518.169.600</w:t>
            </w:r>
          </w:p>
        </w:tc>
        <w:tc>
          <w:tcPr>
            <w:tcW w:w="1000" w:type="pct"/>
            <w:vAlign w:val="bottom"/>
          </w:tcPr>
          <w:p w:rsidR="0025085A" w:rsidRDefault="005448CD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232.246.546</w:t>
            </w:r>
          </w:p>
        </w:tc>
        <w:tc>
          <w:tcPr>
            <w:tcW w:w="800" w:type="pct"/>
            <w:vAlign w:val="bottom"/>
          </w:tcPr>
          <w:p w:rsidR="0025085A" w:rsidRDefault="005448CD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44,8</w:t>
            </w:r>
          </w:p>
        </w:tc>
      </w:tr>
      <w:tr w:rsidR="0025085A">
        <w:tc>
          <w:tcPr>
            <w:tcW w:w="2500" w:type="pct"/>
            <w:vAlign w:val="bottom"/>
          </w:tcPr>
          <w:p w:rsidR="0025085A" w:rsidRDefault="005448CD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18"/>
              </w:rPr>
              <w:t>UKUPNI RASHODI</w:t>
            </w:r>
          </w:p>
        </w:tc>
        <w:tc>
          <w:tcPr>
            <w:tcW w:w="1000" w:type="pct"/>
            <w:vAlign w:val="bottom"/>
          </w:tcPr>
          <w:p w:rsidR="0025085A" w:rsidRDefault="005448CD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413.169.556</w:t>
            </w:r>
          </w:p>
        </w:tc>
        <w:tc>
          <w:tcPr>
            <w:tcW w:w="1000" w:type="pct"/>
            <w:vAlign w:val="bottom"/>
          </w:tcPr>
          <w:p w:rsidR="0025085A" w:rsidRDefault="005448CD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217.510.812</w:t>
            </w:r>
          </w:p>
        </w:tc>
        <w:tc>
          <w:tcPr>
            <w:tcW w:w="800" w:type="pct"/>
            <w:vAlign w:val="bottom"/>
          </w:tcPr>
          <w:p w:rsidR="0025085A" w:rsidRDefault="005448CD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52,6</w:t>
            </w:r>
          </w:p>
        </w:tc>
      </w:tr>
      <w:tr w:rsidR="0025085A">
        <w:tc>
          <w:tcPr>
            <w:tcW w:w="2500" w:type="pct"/>
            <w:vAlign w:val="bottom"/>
          </w:tcPr>
          <w:p w:rsidR="0025085A" w:rsidRDefault="005448CD">
            <w:pPr>
              <w:spacing w:after="0" w:line="240" w:lineRule="auto"/>
            </w:pPr>
            <w:r>
              <w:rPr>
                <w:rFonts w:ascii="Times New Roman" w:hAnsi="Times New Roman" w:cs="Times New Roman"/>
                <w:b/>
                <w:sz w:val="18"/>
              </w:rPr>
              <w:t>RAZLIKA - VIŠAK/MANJAK</w:t>
            </w:r>
          </w:p>
        </w:tc>
        <w:tc>
          <w:tcPr>
            <w:tcW w:w="1000" w:type="pct"/>
            <w:vAlign w:val="bottom"/>
          </w:tcPr>
          <w:p w:rsidR="0025085A" w:rsidRDefault="005448CD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b/>
                <w:sz w:val="18"/>
              </w:rPr>
              <w:t>105.000.044</w:t>
            </w:r>
          </w:p>
        </w:tc>
        <w:tc>
          <w:tcPr>
            <w:tcW w:w="800" w:type="pct"/>
            <w:vAlign w:val="bottom"/>
          </w:tcPr>
          <w:p w:rsidR="0025085A" w:rsidRDefault="005448CD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b/>
                <w:sz w:val="18"/>
              </w:rPr>
              <w:t>14.735.733</w:t>
            </w:r>
          </w:p>
        </w:tc>
        <w:tc>
          <w:tcPr>
            <w:tcW w:w="800" w:type="pct"/>
            <w:vAlign w:val="bottom"/>
          </w:tcPr>
          <w:p w:rsidR="0025085A" w:rsidRDefault="005448CD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b/>
                <w:sz w:val="18"/>
              </w:rPr>
              <w:t>14,0</w:t>
            </w:r>
          </w:p>
        </w:tc>
      </w:tr>
    </w:tbl>
    <w:p w:rsidR="0025085A" w:rsidRDefault="0025085A">
      <w:pPr>
        <w:spacing w:after="0" w:line="240" w:lineRule="auto"/>
      </w:pPr>
    </w:p>
    <w:p w:rsidR="005448CD" w:rsidRDefault="005448CD">
      <w:pPr>
        <w:spacing w:line="360" w:lineRule="auto"/>
        <w:rPr>
          <w:rFonts w:ascii="Times New Roman" w:hAnsi="Times New Roman" w:cs="Times New Roman"/>
          <w:b/>
          <w:sz w:val="24"/>
          <w:u w:val="single"/>
        </w:rPr>
      </w:pPr>
    </w:p>
    <w:p w:rsidR="005448CD" w:rsidRDefault="005448CD">
      <w:pPr>
        <w:spacing w:line="360" w:lineRule="auto"/>
        <w:rPr>
          <w:rFonts w:ascii="Times New Roman" w:hAnsi="Times New Roman" w:cs="Times New Roman"/>
          <w:b/>
          <w:sz w:val="24"/>
          <w:u w:val="single"/>
        </w:rPr>
      </w:pPr>
    </w:p>
    <w:p w:rsidR="005448CD" w:rsidRDefault="005448CD">
      <w:pPr>
        <w:spacing w:line="360" w:lineRule="auto"/>
        <w:rPr>
          <w:rFonts w:ascii="Times New Roman" w:hAnsi="Times New Roman" w:cs="Times New Roman"/>
          <w:b/>
          <w:sz w:val="24"/>
          <w:u w:val="single"/>
        </w:rPr>
      </w:pPr>
    </w:p>
    <w:p w:rsidR="0025085A" w:rsidRDefault="005448CD">
      <w:pPr>
        <w:spacing w:line="360" w:lineRule="auto"/>
      </w:pPr>
      <w:r>
        <w:rPr>
          <w:rFonts w:ascii="Times New Roman" w:hAnsi="Times New Roman" w:cs="Times New Roman"/>
          <w:b/>
          <w:sz w:val="24"/>
          <w:u w:val="single"/>
        </w:rPr>
        <w:t>Račun financiranja</w:t>
      </w:r>
    </w:p>
    <w:tbl>
      <w:tblPr>
        <w:tblW w:w="4850" w:type="pct"/>
        <w:tblInd w:w="100" w:type="dxa"/>
        <w:tblBorders>
          <w:top w:val="single" w:sz="5" w:space="0" w:color="auto"/>
          <w:left w:val="single" w:sz="5" w:space="0" w:color="auto"/>
          <w:bottom w:val="single" w:sz="5" w:space="0" w:color="auto"/>
          <w:right w:val="single" w:sz="5" w:space="0" w:color="auto"/>
          <w:insideH w:val="single" w:sz="5" w:space="0" w:color="auto"/>
          <w:insideV w:val="single" w:sz="5" w:space="0" w:color="auto"/>
        </w:tblBorders>
        <w:tblCellMar>
          <w:left w:w="100" w:type="dxa"/>
          <w:right w:w="100" w:type="dxa"/>
        </w:tblCellMar>
        <w:tblLook w:val="0000" w:firstRow="0" w:lastRow="0" w:firstColumn="0" w:lastColumn="0" w:noHBand="0" w:noVBand="0"/>
      </w:tblPr>
      <w:tblGrid>
        <w:gridCol w:w="4658"/>
        <w:gridCol w:w="1864"/>
        <w:gridCol w:w="1864"/>
        <w:gridCol w:w="932"/>
      </w:tblGrid>
      <w:tr w:rsidR="0025085A">
        <w:tc>
          <w:tcPr>
            <w:tcW w:w="2500" w:type="pct"/>
            <w:shd w:val="clear" w:color="auto" w:fill="BCDFFB"/>
            <w:vAlign w:val="center"/>
          </w:tcPr>
          <w:p w:rsidR="0025085A" w:rsidRDefault="005448CD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sz w:val="18"/>
              </w:rPr>
              <w:t>BROJČANA OZNAKA I NAZIV</w:t>
            </w:r>
          </w:p>
        </w:tc>
        <w:tc>
          <w:tcPr>
            <w:tcW w:w="1000" w:type="pct"/>
            <w:shd w:val="clear" w:color="auto" w:fill="BCDFFB"/>
            <w:vAlign w:val="center"/>
          </w:tcPr>
          <w:p w:rsidR="0025085A" w:rsidRDefault="005448CD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sz w:val="18"/>
              </w:rPr>
              <w:t>PLAN</w:t>
            </w:r>
            <w:r>
              <w:rPr>
                <w:rFonts w:ascii="Times New Roman" w:hAnsi="Times New Roman" w:cs="Times New Roman"/>
                <w:b/>
                <w:sz w:val="18"/>
              </w:rPr>
              <w:br/>
              <w:t>2024.</w:t>
            </w:r>
          </w:p>
        </w:tc>
        <w:tc>
          <w:tcPr>
            <w:tcW w:w="1000" w:type="pct"/>
            <w:shd w:val="clear" w:color="auto" w:fill="BCDFFB"/>
            <w:vAlign w:val="center"/>
          </w:tcPr>
          <w:p w:rsidR="0025085A" w:rsidRDefault="005448CD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sz w:val="18"/>
              </w:rPr>
              <w:t>OSTVARENJE/</w:t>
            </w:r>
            <w:r>
              <w:rPr>
                <w:rFonts w:ascii="Times New Roman" w:hAnsi="Times New Roman" w:cs="Times New Roman"/>
                <w:b/>
                <w:sz w:val="18"/>
              </w:rPr>
              <w:br/>
              <w:t>IZVRŠENJE 1.-6. 2024.</w:t>
            </w:r>
          </w:p>
        </w:tc>
        <w:tc>
          <w:tcPr>
            <w:tcW w:w="800" w:type="pct"/>
            <w:shd w:val="clear" w:color="auto" w:fill="BCDFFB"/>
            <w:vAlign w:val="center"/>
          </w:tcPr>
          <w:p w:rsidR="0025085A" w:rsidRDefault="005448CD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sz w:val="18"/>
              </w:rPr>
              <w:t>INDEKS</w:t>
            </w:r>
          </w:p>
        </w:tc>
      </w:tr>
      <w:tr w:rsidR="0025085A">
        <w:tc>
          <w:tcPr>
            <w:tcW w:w="2500" w:type="pct"/>
            <w:shd w:val="clear" w:color="auto" w:fill="BCDFFB"/>
            <w:vAlign w:val="center"/>
          </w:tcPr>
          <w:p w:rsidR="0025085A" w:rsidRDefault="005448CD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1000" w:type="pct"/>
            <w:shd w:val="clear" w:color="auto" w:fill="BCDFFB"/>
            <w:vAlign w:val="center"/>
          </w:tcPr>
          <w:p w:rsidR="0025085A" w:rsidRDefault="005448CD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14"/>
              </w:rPr>
              <w:t>2</w:t>
            </w:r>
          </w:p>
        </w:tc>
        <w:tc>
          <w:tcPr>
            <w:tcW w:w="1000" w:type="pct"/>
            <w:shd w:val="clear" w:color="auto" w:fill="BCDFFB"/>
            <w:vAlign w:val="center"/>
          </w:tcPr>
          <w:p w:rsidR="0025085A" w:rsidRDefault="005448CD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14"/>
              </w:rPr>
              <w:t>3</w:t>
            </w:r>
          </w:p>
        </w:tc>
        <w:tc>
          <w:tcPr>
            <w:tcW w:w="800" w:type="pct"/>
            <w:shd w:val="clear" w:color="auto" w:fill="BCDFFB"/>
            <w:vAlign w:val="center"/>
          </w:tcPr>
          <w:p w:rsidR="0025085A" w:rsidRDefault="005448CD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14"/>
              </w:rPr>
              <w:t>4=3/2</w:t>
            </w:r>
          </w:p>
        </w:tc>
      </w:tr>
      <w:tr w:rsidR="0025085A">
        <w:tc>
          <w:tcPr>
            <w:tcW w:w="2500" w:type="pct"/>
            <w:vAlign w:val="center"/>
          </w:tcPr>
          <w:p w:rsidR="0025085A" w:rsidRDefault="005448CD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18"/>
              </w:rPr>
              <w:t>8 PRIMICI OD FINANCIJSKE IMOVINE I ZADUŽIVANJA</w:t>
            </w:r>
          </w:p>
        </w:tc>
        <w:tc>
          <w:tcPr>
            <w:tcW w:w="1000" w:type="pct"/>
            <w:vAlign w:val="bottom"/>
          </w:tcPr>
          <w:p w:rsidR="0025085A" w:rsidRDefault="005448CD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39.727.000</w:t>
            </w:r>
          </w:p>
        </w:tc>
        <w:tc>
          <w:tcPr>
            <w:tcW w:w="1000" w:type="pct"/>
            <w:vAlign w:val="bottom"/>
          </w:tcPr>
          <w:p w:rsidR="0025085A" w:rsidRDefault="005448CD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11.863.840</w:t>
            </w:r>
          </w:p>
        </w:tc>
        <w:tc>
          <w:tcPr>
            <w:tcW w:w="800" w:type="pct"/>
            <w:vAlign w:val="bottom"/>
          </w:tcPr>
          <w:p w:rsidR="0025085A" w:rsidRDefault="005448CD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29,9</w:t>
            </w:r>
          </w:p>
        </w:tc>
      </w:tr>
      <w:tr w:rsidR="0025085A">
        <w:tc>
          <w:tcPr>
            <w:tcW w:w="2500" w:type="pct"/>
            <w:vAlign w:val="bottom"/>
          </w:tcPr>
          <w:p w:rsidR="0025085A" w:rsidRDefault="005448CD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18"/>
              </w:rPr>
              <w:t xml:space="preserve">5 IZDACI ZA </w:t>
            </w:r>
            <w:r>
              <w:rPr>
                <w:rFonts w:ascii="Times New Roman" w:hAnsi="Times New Roman" w:cs="Times New Roman"/>
                <w:sz w:val="18"/>
              </w:rPr>
              <w:t>FINANCIJSKU IMOVINU I OTPLATE ZAJMOVA</w:t>
            </w:r>
          </w:p>
        </w:tc>
        <w:tc>
          <w:tcPr>
            <w:tcW w:w="1000" w:type="pct"/>
            <w:vAlign w:val="bottom"/>
          </w:tcPr>
          <w:p w:rsidR="0025085A" w:rsidRDefault="005448CD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98.471.582</w:t>
            </w:r>
          </w:p>
        </w:tc>
        <w:tc>
          <w:tcPr>
            <w:tcW w:w="1000" w:type="pct"/>
            <w:vAlign w:val="bottom"/>
          </w:tcPr>
          <w:p w:rsidR="0025085A" w:rsidRDefault="005448CD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52.266.722</w:t>
            </w:r>
          </w:p>
        </w:tc>
        <w:tc>
          <w:tcPr>
            <w:tcW w:w="800" w:type="pct"/>
            <w:vAlign w:val="bottom"/>
          </w:tcPr>
          <w:p w:rsidR="0025085A" w:rsidRDefault="005448CD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53,1</w:t>
            </w:r>
          </w:p>
        </w:tc>
      </w:tr>
      <w:tr w:rsidR="0025085A">
        <w:tc>
          <w:tcPr>
            <w:tcW w:w="2500" w:type="pct"/>
            <w:vAlign w:val="bottom"/>
          </w:tcPr>
          <w:p w:rsidR="0025085A" w:rsidRDefault="005448CD">
            <w:pPr>
              <w:spacing w:after="0" w:line="240" w:lineRule="auto"/>
            </w:pPr>
            <w:r>
              <w:rPr>
                <w:rFonts w:ascii="Times New Roman" w:hAnsi="Times New Roman" w:cs="Times New Roman"/>
                <w:b/>
                <w:sz w:val="18"/>
              </w:rPr>
              <w:t>RAZLIKA PRIMITAKA I IZDATAKA</w:t>
            </w:r>
          </w:p>
        </w:tc>
        <w:tc>
          <w:tcPr>
            <w:tcW w:w="1000" w:type="pct"/>
            <w:vAlign w:val="bottom"/>
          </w:tcPr>
          <w:p w:rsidR="0025085A" w:rsidRDefault="005448CD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b/>
                <w:sz w:val="18"/>
              </w:rPr>
              <w:t>-58.744.582</w:t>
            </w:r>
          </w:p>
        </w:tc>
        <w:tc>
          <w:tcPr>
            <w:tcW w:w="1000" w:type="pct"/>
            <w:vAlign w:val="bottom"/>
          </w:tcPr>
          <w:p w:rsidR="0025085A" w:rsidRDefault="005448CD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b/>
                <w:sz w:val="18"/>
              </w:rPr>
              <w:t>-40.402.882</w:t>
            </w:r>
          </w:p>
        </w:tc>
        <w:tc>
          <w:tcPr>
            <w:tcW w:w="800" w:type="pct"/>
            <w:vAlign w:val="bottom"/>
          </w:tcPr>
          <w:p w:rsidR="0025085A" w:rsidRDefault="005448CD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b/>
                <w:sz w:val="18"/>
              </w:rPr>
              <w:t>68,8</w:t>
            </w:r>
          </w:p>
        </w:tc>
      </w:tr>
      <w:tr w:rsidR="0025085A">
        <w:tc>
          <w:tcPr>
            <w:tcW w:w="2500" w:type="pct"/>
            <w:vAlign w:val="bottom"/>
          </w:tcPr>
          <w:p w:rsidR="0025085A" w:rsidRDefault="005448CD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18"/>
              </w:rPr>
              <w:t>PRIJENOS SREDSTAVA IZ PRETHODNE GODINE</w:t>
            </w:r>
          </w:p>
        </w:tc>
        <w:tc>
          <w:tcPr>
            <w:tcW w:w="1000" w:type="pct"/>
            <w:vAlign w:val="bottom"/>
          </w:tcPr>
          <w:p w:rsidR="0025085A" w:rsidRDefault="005448CD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124.763.073</w:t>
            </w:r>
          </w:p>
        </w:tc>
        <w:tc>
          <w:tcPr>
            <w:tcW w:w="800" w:type="pct"/>
            <w:vAlign w:val="bottom"/>
          </w:tcPr>
          <w:p w:rsidR="0025085A" w:rsidRDefault="005448CD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64.090.093</w:t>
            </w:r>
          </w:p>
        </w:tc>
        <w:tc>
          <w:tcPr>
            <w:tcW w:w="800" w:type="pct"/>
            <w:vAlign w:val="bottom"/>
          </w:tcPr>
          <w:p w:rsidR="0025085A" w:rsidRDefault="005448CD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51,4</w:t>
            </w:r>
          </w:p>
        </w:tc>
      </w:tr>
      <w:tr w:rsidR="0025085A">
        <w:tc>
          <w:tcPr>
            <w:tcW w:w="2500" w:type="pct"/>
            <w:vAlign w:val="bottom"/>
          </w:tcPr>
          <w:p w:rsidR="0025085A" w:rsidRDefault="005448CD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18"/>
              </w:rPr>
              <w:t>PRIJENOS SREDSTAVA U SLJEDEĆE RAZDOBLJE</w:t>
            </w:r>
          </w:p>
        </w:tc>
        <w:tc>
          <w:tcPr>
            <w:tcW w:w="1000" w:type="pct"/>
            <w:vAlign w:val="bottom"/>
          </w:tcPr>
          <w:p w:rsidR="0025085A" w:rsidRDefault="005448CD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-171.018.535</w:t>
            </w:r>
          </w:p>
        </w:tc>
        <w:tc>
          <w:tcPr>
            <w:tcW w:w="800" w:type="pct"/>
            <w:vAlign w:val="bottom"/>
          </w:tcPr>
          <w:p w:rsidR="0025085A" w:rsidRDefault="005448CD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-38.422.945</w:t>
            </w:r>
          </w:p>
        </w:tc>
        <w:tc>
          <w:tcPr>
            <w:tcW w:w="800" w:type="pct"/>
            <w:vAlign w:val="bottom"/>
          </w:tcPr>
          <w:p w:rsidR="0025085A" w:rsidRDefault="005448CD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22,5</w:t>
            </w:r>
          </w:p>
        </w:tc>
      </w:tr>
      <w:tr w:rsidR="0025085A">
        <w:tc>
          <w:tcPr>
            <w:tcW w:w="2500" w:type="pct"/>
            <w:vAlign w:val="bottom"/>
          </w:tcPr>
          <w:p w:rsidR="0025085A" w:rsidRDefault="005448CD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18"/>
              </w:rPr>
              <w:t>NETO FINANCIRANJE</w:t>
            </w:r>
          </w:p>
        </w:tc>
        <w:tc>
          <w:tcPr>
            <w:tcW w:w="1000" w:type="pct"/>
            <w:vAlign w:val="bottom"/>
          </w:tcPr>
          <w:p w:rsidR="0025085A" w:rsidRDefault="005448CD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-105.000.044</w:t>
            </w:r>
          </w:p>
        </w:tc>
        <w:tc>
          <w:tcPr>
            <w:tcW w:w="800" w:type="pct"/>
            <w:vAlign w:val="bottom"/>
          </w:tcPr>
          <w:p w:rsidR="0025085A" w:rsidRDefault="005448CD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-14.735.733</w:t>
            </w:r>
          </w:p>
        </w:tc>
        <w:tc>
          <w:tcPr>
            <w:tcW w:w="800" w:type="pct"/>
            <w:vAlign w:val="bottom"/>
          </w:tcPr>
          <w:p w:rsidR="0025085A" w:rsidRDefault="005448CD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14,0</w:t>
            </w:r>
          </w:p>
        </w:tc>
      </w:tr>
      <w:tr w:rsidR="0025085A">
        <w:tc>
          <w:tcPr>
            <w:tcW w:w="2500" w:type="pct"/>
            <w:vAlign w:val="bottom"/>
          </w:tcPr>
          <w:p w:rsidR="0025085A" w:rsidRDefault="005448CD">
            <w:pPr>
              <w:spacing w:after="0" w:line="240" w:lineRule="auto"/>
            </w:pPr>
            <w:r>
              <w:rPr>
                <w:rFonts w:ascii="Times New Roman" w:hAnsi="Times New Roman" w:cs="Times New Roman"/>
                <w:b/>
                <w:sz w:val="18"/>
              </w:rPr>
              <w:t>VIŠAK/MANJAK + NETO FINANCIRANJE</w:t>
            </w:r>
          </w:p>
        </w:tc>
        <w:tc>
          <w:tcPr>
            <w:tcW w:w="1000" w:type="pct"/>
            <w:vAlign w:val="bottom"/>
          </w:tcPr>
          <w:p w:rsidR="0025085A" w:rsidRDefault="005448CD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b/>
                <w:sz w:val="18"/>
              </w:rPr>
              <w:t>0</w:t>
            </w:r>
          </w:p>
        </w:tc>
        <w:tc>
          <w:tcPr>
            <w:tcW w:w="800" w:type="pct"/>
            <w:vAlign w:val="bottom"/>
          </w:tcPr>
          <w:p w:rsidR="0025085A" w:rsidRDefault="005448CD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b/>
                <w:sz w:val="18"/>
              </w:rPr>
              <w:t>0</w:t>
            </w:r>
          </w:p>
        </w:tc>
        <w:tc>
          <w:tcPr>
            <w:tcW w:w="800" w:type="pct"/>
            <w:vAlign w:val="bottom"/>
          </w:tcPr>
          <w:p w:rsidR="0025085A" w:rsidRDefault="0025085A">
            <w:pPr>
              <w:spacing w:after="0" w:line="240" w:lineRule="auto"/>
              <w:jc w:val="right"/>
            </w:pPr>
          </w:p>
        </w:tc>
      </w:tr>
    </w:tbl>
    <w:p w:rsidR="0025085A" w:rsidRDefault="0025085A">
      <w:pPr>
        <w:spacing w:after="0" w:line="240" w:lineRule="auto"/>
      </w:pPr>
    </w:p>
    <w:p w:rsidR="0025085A" w:rsidRDefault="005448CD">
      <w:pPr>
        <w:spacing w:line="240" w:lineRule="auto"/>
        <w:ind w:right="79"/>
        <w:jc w:val="both"/>
      </w:pPr>
      <w:r>
        <w:rPr>
          <w:rFonts w:ascii="Times New Roman" w:hAnsi="Times New Roman" w:cs="Times New Roman"/>
          <w:sz w:val="24"/>
        </w:rPr>
        <w:t>Ostvareni prihodi i rashodi poslovanja u prvom polugodištu 2024. godine rezultiraju viškom u iznosu od 14.735.733 EUR.</w:t>
      </w:r>
    </w:p>
    <w:p w:rsidR="0025085A" w:rsidRDefault="005448CD">
      <w:pPr>
        <w:spacing w:line="240" w:lineRule="auto"/>
        <w:ind w:right="79"/>
        <w:jc w:val="both"/>
      </w:pPr>
      <w:r>
        <w:rPr>
          <w:rFonts w:ascii="Times New Roman" w:hAnsi="Times New Roman" w:cs="Times New Roman"/>
          <w:sz w:val="24"/>
        </w:rPr>
        <w:t>Izdaci za financijsku imovinu i otplate zajmova ostvareni su u iznosu od 52.266.722 EUR, od čega se 35.806.921 EUR odnosi na izdatke za otplate glavnica, a 16.459.801 EUR na izdatke za oročene depozite. Primici od zaduživanja ostvareni su u iznosu od 11.86</w:t>
      </w:r>
      <w:r>
        <w:rPr>
          <w:rFonts w:ascii="Times New Roman" w:hAnsi="Times New Roman" w:cs="Times New Roman"/>
          <w:sz w:val="24"/>
        </w:rPr>
        <w:t>3.840 EUR. Otplate glavnica (kreditnih obveza) izvršavane su pravovremeno, sukladno otplatnim planovima, a primici od zaduživanja realizirani su sukcesivno, prema dinamici građevinskih radova na izgradnji autoceste A5 i autoceste A7.</w:t>
      </w:r>
    </w:p>
    <w:p w:rsidR="0025085A" w:rsidRDefault="005448CD">
      <w:pPr>
        <w:spacing w:line="240" w:lineRule="auto"/>
        <w:ind w:right="79"/>
        <w:jc w:val="both"/>
      </w:pPr>
      <w:r>
        <w:rPr>
          <w:rFonts w:ascii="Times New Roman" w:hAnsi="Times New Roman" w:cs="Times New Roman"/>
          <w:sz w:val="24"/>
        </w:rPr>
        <w:t>PRIJENOS SREDSTAVA</w:t>
      </w:r>
    </w:p>
    <w:p w:rsidR="0025085A" w:rsidRDefault="005448CD">
      <w:pPr>
        <w:spacing w:line="240" w:lineRule="auto"/>
        <w:ind w:right="79"/>
        <w:jc w:val="both"/>
      </w:pPr>
      <w:r>
        <w:rPr>
          <w:rFonts w:ascii="Times New Roman" w:hAnsi="Times New Roman" w:cs="Times New Roman"/>
          <w:sz w:val="24"/>
        </w:rPr>
        <w:t>Nak</w:t>
      </w:r>
      <w:r>
        <w:rPr>
          <w:rFonts w:ascii="Times New Roman" w:hAnsi="Times New Roman" w:cs="Times New Roman"/>
          <w:sz w:val="24"/>
        </w:rPr>
        <w:t>on podmirenja dospjelih obaveza proizašlih iz poslovnih, investicijskih i financijskih aktivnosti Društva, stanje novca u banci i blagajni na kraju 2023. godine iznosi 64.090.093 EUR, a prijenos sredstava u sljedeće razdoblje 38.422.945 EUR, bez oročenih d</w:t>
      </w:r>
      <w:r>
        <w:rPr>
          <w:rFonts w:ascii="Times New Roman" w:hAnsi="Times New Roman" w:cs="Times New Roman"/>
          <w:sz w:val="24"/>
        </w:rPr>
        <w:t xml:space="preserve">epozita. Oročeni depozit na kraju promatranog razdoblja iznosi 159.851.249 EUR pa ukupna financijska sredstva iznose 198.274.194 EUR. Raspoloživi novac iskoristit će se za nastavak investicijskog ciklusa u svrhu provođenja strategije razvitka javnih cesta </w:t>
      </w:r>
      <w:r>
        <w:rPr>
          <w:rFonts w:ascii="Times New Roman" w:hAnsi="Times New Roman" w:cs="Times New Roman"/>
          <w:sz w:val="24"/>
        </w:rPr>
        <w:t>te za podmirenje kreditnih obveza Društva.</w:t>
      </w:r>
    </w:p>
    <w:p w:rsidR="0025085A" w:rsidRDefault="005448CD">
      <w:pPr>
        <w:spacing w:line="360" w:lineRule="auto"/>
        <w:jc w:val="center"/>
      </w:pPr>
      <w:r>
        <w:rPr>
          <w:rFonts w:ascii="Times New Roman" w:hAnsi="Times New Roman" w:cs="Times New Roman"/>
          <w:b/>
          <w:sz w:val="24"/>
        </w:rPr>
        <w:br/>
        <w:t>IZVJEŠTAJ O ZADUŽIVANJU NA DOMAĆEM I STRANOM TRŽIŠTU NOVCA I KAPITALA</w:t>
      </w:r>
    </w:p>
    <w:p w:rsidR="0025085A" w:rsidRDefault="005448CD">
      <w:pPr>
        <w:spacing w:line="240" w:lineRule="auto"/>
        <w:ind w:right="79"/>
        <w:jc w:val="both"/>
      </w:pPr>
      <w:r>
        <w:rPr>
          <w:rFonts w:ascii="Times New Roman" w:hAnsi="Times New Roman" w:cs="Times New Roman"/>
          <w:sz w:val="24"/>
        </w:rPr>
        <w:t>Društvo Hrvatske autoceste d.o.o. u razdoblju od siječnja do lipnja 2024. godine nije ugovorilo novo kreditno zaduženje.</w:t>
      </w:r>
    </w:p>
    <w:p w:rsidR="0025085A" w:rsidRDefault="005448CD">
      <w:pPr>
        <w:spacing w:line="360" w:lineRule="auto"/>
        <w:jc w:val="center"/>
      </w:pPr>
      <w:r>
        <w:rPr>
          <w:rFonts w:ascii="Times New Roman" w:hAnsi="Times New Roman" w:cs="Times New Roman"/>
          <w:b/>
          <w:sz w:val="24"/>
        </w:rPr>
        <w:br/>
        <w:t>IZVJEŠTAJ O DANIM JA</w:t>
      </w:r>
      <w:r>
        <w:rPr>
          <w:rFonts w:ascii="Times New Roman" w:hAnsi="Times New Roman" w:cs="Times New Roman"/>
          <w:b/>
          <w:sz w:val="24"/>
        </w:rPr>
        <w:t xml:space="preserve">MSTVIMA I PLAĆANJIMA PO PROTESTIRANIM JAMSTVIMA </w:t>
      </w:r>
    </w:p>
    <w:p w:rsidR="0025085A" w:rsidRDefault="005448CD">
      <w:pPr>
        <w:spacing w:line="240" w:lineRule="auto"/>
        <w:ind w:right="79"/>
        <w:jc w:val="both"/>
      </w:pPr>
      <w:r>
        <w:rPr>
          <w:rFonts w:ascii="Times New Roman" w:hAnsi="Times New Roman" w:cs="Times New Roman"/>
          <w:sz w:val="24"/>
        </w:rPr>
        <w:t>Društvo Hrvatske autoceste d.o.o. u razdoblju od siječnja do lipnja 2024. godine nije izdalo jamstva niti izvršilo plaćanja po protestiranim jamstvima.</w:t>
      </w:r>
    </w:p>
    <w:sectPr w:rsidR="0025085A" w:rsidSect="000E60F2">
      <w:footerReference w:type="default" r:id="rId6"/>
      <w:pgSz w:w="12240" w:h="15840"/>
      <w:pgMar w:top="1417" w:right="1417" w:bottom="1417" w:left="1417" w:header="720" w:footer="720" w:gutter="0"/>
      <w:pgNumType w:start="1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60F2" w:rsidRDefault="000E60F2" w:rsidP="000E60F2">
      <w:pPr>
        <w:spacing w:after="0" w:line="240" w:lineRule="auto"/>
      </w:pPr>
      <w:r>
        <w:separator/>
      </w:r>
    </w:p>
  </w:endnote>
  <w:endnote w:type="continuationSeparator" w:id="0">
    <w:p w:rsidR="000E60F2" w:rsidRDefault="000E60F2" w:rsidP="000E60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13102332"/>
      <w:docPartObj>
        <w:docPartGallery w:val="Page Numbers (Bottom of Page)"/>
        <w:docPartUnique/>
      </w:docPartObj>
    </w:sdtPr>
    <w:sdtContent>
      <w:p w:rsidR="000E60F2" w:rsidRDefault="000E60F2">
        <w:pPr>
          <w:pStyle w:val="Podnoje"/>
          <w:jc w:val="center"/>
        </w:pPr>
        <w:r w:rsidRPr="000E60F2">
          <w:rPr>
            <w:rFonts w:ascii="Times New Roman" w:hAnsi="Times New Roman" w:cs="Times New Roman"/>
            <w:sz w:val="24"/>
          </w:rPr>
          <w:fldChar w:fldCharType="begin"/>
        </w:r>
        <w:r w:rsidRPr="000E60F2">
          <w:rPr>
            <w:rFonts w:ascii="Times New Roman" w:hAnsi="Times New Roman" w:cs="Times New Roman"/>
            <w:sz w:val="24"/>
          </w:rPr>
          <w:instrText>PAGE   \* MERGEFORMAT</w:instrText>
        </w:r>
        <w:r w:rsidRPr="000E60F2">
          <w:rPr>
            <w:rFonts w:ascii="Times New Roman" w:hAnsi="Times New Roman" w:cs="Times New Roman"/>
            <w:sz w:val="24"/>
          </w:rPr>
          <w:fldChar w:fldCharType="separate"/>
        </w:r>
        <w:r w:rsidR="005448CD">
          <w:rPr>
            <w:rFonts w:ascii="Times New Roman" w:hAnsi="Times New Roman" w:cs="Times New Roman"/>
            <w:noProof/>
            <w:sz w:val="24"/>
          </w:rPr>
          <w:t>10</w:t>
        </w:r>
        <w:r w:rsidRPr="000E60F2">
          <w:rPr>
            <w:rFonts w:ascii="Times New Roman" w:hAnsi="Times New Roman" w:cs="Times New Roman"/>
            <w:sz w:val="24"/>
          </w:rPr>
          <w:fldChar w:fldCharType="end"/>
        </w:r>
      </w:p>
    </w:sdtContent>
  </w:sdt>
  <w:p w:rsidR="000E60F2" w:rsidRDefault="000E60F2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60F2" w:rsidRDefault="000E60F2" w:rsidP="000E60F2">
      <w:pPr>
        <w:spacing w:after="0" w:line="240" w:lineRule="auto"/>
      </w:pPr>
      <w:r>
        <w:separator/>
      </w:r>
    </w:p>
  </w:footnote>
  <w:footnote w:type="continuationSeparator" w:id="0">
    <w:p w:rsidR="000E60F2" w:rsidRDefault="000E60F2" w:rsidP="000E60F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25085A"/>
    <w:rsid w:val="000E60F2"/>
    <w:rsid w:val="0025085A"/>
    <w:rsid w:val="005448CD"/>
    <w:rsid w:val="00695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C54605"/>
  <w15:docId w15:val="{4FD01ADD-F3A8-4DBD-9B99-5A9684EB94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0E60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0E60F2"/>
  </w:style>
  <w:style w:type="paragraph" w:styleId="Podnoje">
    <w:name w:val="footer"/>
    <w:basedOn w:val="Normal"/>
    <w:link w:val="PodnojeChar"/>
    <w:uiPriority w:val="99"/>
    <w:unhideWhenUsed/>
    <w:rsid w:val="000E60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0E60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1049</Words>
  <Characters>5985</Characters>
  <Application>Microsoft Office Word</Application>
  <DocSecurity>0</DocSecurity>
  <Lines>49</Lines>
  <Paragraphs>14</Paragraphs>
  <ScaleCrop>false</ScaleCrop>
  <Company/>
  <LinksUpToDate>false</LinksUpToDate>
  <CharactersWithSpaces>7020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Ida Hohnjec</cp:lastModifiedBy>
  <cp:revision>4</cp:revision>
  <dcterms:created xsi:type="dcterms:W3CDTF">2024-09-03T08:12:00Z</dcterms:created>
  <dcterms:modified xsi:type="dcterms:W3CDTF">2024-09-03T08:13:00Z</dcterms:modified>
</cp:coreProperties>
</file>