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68333" w14:textId="77777777" w:rsidR="0087775A" w:rsidRDefault="00BB042B">
      <w:pPr>
        <w:spacing w:line="360" w:lineRule="auto"/>
        <w:jc w:val="center"/>
      </w:pPr>
      <w:r>
        <w:rPr>
          <w:rFonts w:ascii="Times New Roman" w:hAnsi="Times New Roman" w:cs="Times New Roman"/>
          <w:b/>
          <w:sz w:val="28"/>
        </w:rPr>
        <w:t>OBRAZLOŽENJE IZVRŠENJA FINANCIJSKOG PLANA FONDA ZA ZAŠTITU OKOLIŠA I ENERGETSKU UČINKOVITOST ZA PRVO POLUGODIŠTE 2023. GODINE</w:t>
      </w:r>
    </w:p>
    <w:p w14:paraId="4C640E79" w14:textId="77777777" w:rsidR="0087775A" w:rsidRDefault="00BB042B">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624"/>
        <w:gridCol w:w="1499"/>
        <w:gridCol w:w="1499"/>
        <w:gridCol w:w="1498"/>
        <w:gridCol w:w="937"/>
        <w:gridCol w:w="937"/>
      </w:tblGrid>
      <w:tr w:rsidR="0087775A" w14:paraId="441BCB44" w14:textId="77777777">
        <w:tc>
          <w:tcPr>
            <w:tcW w:w="1400" w:type="pct"/>
            <w:shd w:val="clear" w:color="auto" w:fill="BCDFFB"/>
            <w:vAlign w:val="center"/>
          </w:tcPr>
          <w:p w14:paraId="358C14B8" w14:textId="77777777" w:rsidR="0087775A" w:rsidRDefault="00BB042B">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14:paraId="5A03ABBC" w14:textId="77777777" w:rsidR="0087775A" w:rsidRDefault="00BB042B">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2022.</w:t>
            </w:r>
          </w:p>
        </w:tc>
        <w:tc>
          <w:tcPr>
            <w:tcW w:w="800" w:type="pct"/>
            <w:shd w:val="clear" w:color="auto" w:fill="BCDFFB"/>
            <w:vAlign w:val="center"/>
          </w:tcPr>
          <w:p w14:paraId="59E043C8" w14:textId="77777777" w:rsidR="0087775A" w:rsidRDefault="00584547">
            <w:pPr>
              <w:spacing w:after="0" w:line="240" w:lineRule="auto"/>
              <w:jc w:val="center"/>
            </w:pPr>
            <w:r>
              <w:rPr>
                <w:rFonts w:ascii="Times New Roman" w:hAnsi="Times New Roman" w:cs="Times New Roman"/>
                <w:b/>
                <w:sz w:val="18"/>
              </w:rPr>
              <w:t>REBALANS</w:t>
            </w:r>
            <w:r w:rsidR="00BB042B">
              <w:rPr>
                <w:rFonts w:ascii="Times New Roman" w:hAnsi="Times New Roman" w:cs="Times New Roman"/>
                <w:b/>
                <w:sz w:val="18"/>
              </w:rPr>
              <w:br/>
              <w:t>2023.</w:t>
            </w:r>
          </w:p>
        </w:tc>
        <w:tc>
          <w:tcPr>
            <w:tcW w:w="800" w:type="pct"/>
            <w:shd w:val="clear" w:color="auto" w:fill="BCDFFB"/>
            <w:vAlign w:val="center"/>
          </w:tcPr>
          <w:p w14:paraId="0B952C7F" w14:textId="77777777" w:rsidR="0087775A" w:rsidRDefault="00BB042B">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2023.</w:t>
            </w:r>
          </w:p>
        </w:tc>
        <w:tc>
          <w:tcPr>
            <w:tcW w:w="500" w:type="pct"/>
            <w:shd w:val="clear" w:color="auto" w:fill="BCDFFB"/>
            <w:vAlign w:val="center"/>
          </w:tcPr>
          <w:p w14:paraId="74D8B9A2" w14:textId="77777777" w:rsidR="0087775A" w:rsidRDefault="00BB042B">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14:paraId="39567037" w14:textId="77777777" w:rsidR="0087775A" w:rsidRDefault="00BB042B">
            <w:pPr>
              <w:spacing w:after="0" w:line="240" w:lineRule="auto"/>
              <w:jc w:val="center"/>
            </w:pPr>
            <w:r>
              <w:rPr>
                <w:rFonts w:ascii="Times New Roman" w:hAnsi="Times New Roman" w:cs="Times New Roman"/>
                <w:b/>
                <w:sz w:val="18"/>
              </w:rPr>
              <w:t>INDEKS</w:t>
            </w:r>
          </w:p>
        </w:tc>
      </w:tr>
      <w:tr w:rsidR="0087775A" w14:paraId="130C8594" w14:textId="77777777">
        <w:tc>
          <w:tcPr>
            <w:tcW w:w="1400" w:type="pct"/>
            <w:shd w:val="clear" w:color="auto" w:fill="BCDFFB"/>
            <w:vAlign w:val="center"/>
          </w:tcPr>
          <w:p w14:paraId="7951CF02" w14:textId="77777777" w:rsidR="0087775A" w:rsidRDefault="00BB042B">
            <w:pPr>
              <w:spacing w:after="0" w:line="240" w:lineRule="auto"/>
              <w:jc w:val="center"/>
            </w:pPr>
            <w:r>
              <w:rPr>
                <w:rFonts w:ascii="Times New Roman" w:hAnsi="Times New Roman" w:cs="Times New Roman"/>
                <w:sz w:val="14"/>
              </w:rPr>
              <w:t>1</w:t>
            </w:r>
          </w:p>
        </w:tc>
        <w:tc>
          <w:tcPr>
            <w:tcW w:w="800" w:type="pct"/>
            <w:shd w:val="clear" w:color="auto" w:fill="BCDFFB"/>
            <w:vAlign w:val="center"/>
          </w:tcPr>
          <w:p w14:paraId="527F81BA" w14:textId="77777777" w:rsidR="0087775A" w:rsidRDefault="00BB042B">
            <w:pPr>
              <w:spacing w:after="0" w:line="240" w:lineRule="auto"/>
              <w:jc w:val="center"/>
            </w:pPr>
            <w:r>
              <w:rPr>
                <w:rFonts w:ascii="Times New Roman" w:hAnsi="Times New Roman" w:cs="Times New Roman"/>
                <w:sz w:val="14"/>
              </w:rPr>
              <w:t>2</w:t>
            </w:r>
          </w:p>
        </w:tc>
        <w:tc>
          <w:tcPr>
            <w:tcW w:w="800" w:type="pct"/>
            <w:shd w:val="clear" w:color="auto" w:fill="BCDFFB"/>
            <w:vAlign w:val="center"/>
          </w:tcPr>
          <w:p w14:paraId="00A09C1C" w14:textId="77777777" w:rsidR="0087775A" w:rsidRDefault="00BB042B">
            <w:pPr>
              <w:spacing w:after="0" w:line="240" w:lineRule="auto"/>
              <w:jc w:val="center"/>
            </w:pPr>
            <w:r>
              <w:rPr>
                <w:rFonts w:ascii="Times New Roman" w:hAnsi="Times New Roman" w:cs="Times New Roman"/>
                <w:sz w:val="14"/>
              </w:rPr>
              <w:t>3</w:t>
            </w:r>
          </w:p>
        </w:tc>
        <w:tc>
          <w:tcPr>
            <w:tcW w:w="800" w:type="pct"/>
            <w:shd w:val="clear" w:color="auto" w:fill="BCDFFB"/>
            <w:vAlign w:val="center"/>
          </w:tcPr>
          <w:p w14:paraId="2C9181FD" w14:textId="77777777" w:rsidR="0087775A" w:rsidRDefault="00BB042B">
            <w:pPr>
              <w:spacing w:after="0" w:line="240" w:lineRule="auto"/>
              <w:jc w:val="center"/>
            </w:pPr>
            <w:r>
              <w:rPr>
                <w:rFonts w:ascii="Times New Roman" w:hAnsi="Times New Roman" w:cs="Times New Roman"/>
                <w:sz w:val="14"/>
              </w:rPr>
              <w:t>4</w:t>
            </w:r>
          </w:p>
        </w:tc>
        <w:tc>
          <w:tcPr>
            <w:tcW w:w="500" w:type="pct"/>
            <w:shd w:val="clear" w:color="auto" w:fill="BCDFFB"/>
            <w:vAlign w:val="center"/>
          </w:tcPr>
          <w:p w14:paraId="65349A01" w14:textId="77777777" w:rsidR="0087775A" w:rsidRDefault="00BB042B">
            <w:pPr>
              <w:spacing w:after="0" w:line="240" w:lineRule="auto"/>
              <w:jc w:val="center"/>
            </w:pPr>
            <w:r>
              <w:rPr>
                <w:rFonts w:ascii="Times New Roman" w:hAnsi="Times New Roman" w:cs="Times New Roman"/>
                <w:sz w:val="14"/>
              </w:rPr>
              <w:t>5=4/2</w:t>
            </w:r>
          </w:p>
        </w:tc>
        <w:tc>
          <w:tcPr>
            <w:tcW w:w="500" w:type="pct"/>
            <w:shd w:val="clear" w:color="auto" w:fill="BCDFFB"/>
            <w:vAlign w:val="center"/>
          </w:tcPr>
          <w:p w14:paraId="2E050E90" w14:textId="77777777" w:rsidR="0087775A" w:rsidRDefault="00BB042B">
            <w:pPr>
              <w:spacing w:after="0" w:line="240" w:lineRule="auto"/>
              <w:jc w:val="center"/>
            </w:pPr>
            <w:r>
              <w:rPr>
                <w:rFonts w:ascii="Times New Roman" w:hAnsi="Times New Roman" w:cs="Times New Roman"/>
                <w:sz w:val="14"/>
              </w:rPr>
              <w:t>6=4/3</w:t>
            </w:r>
          </w:p>
        </w:tc>
      </w:tr>
      <w:tr w:rsidR="0087775A" w14:paraId="07F896CD" w14:textId="77777777">
        <w:tc>
          <w:tcPr>
            <w:tcW w:w="1400" w:type="pct"/>
            <w:vAlign w:val="bottom"/>
          </w:tcPr>
          <w:p w14:paraId="626D3B61" w14:textId="77777777" w:rsidR="0087775A" w:rsidRDefault="00BB042B">
            <w:pPr>
              <w:spacing w:after="0" w:line="240" w:lineRule="auto"/>
            </w:pPr>
            <w:r>
              <w:rPr>
                <w:rFonts w:ascii="Times New Roman" w:hAnsi="Times New Roman" w:cs="Times New Roman"/>
                <w:sz w:val="18"/>
              </w:rPr>
              <w:t>6 PRIHODI POSLOVANJA</w:t>
            </w:r>
          </w:p>
        </w:tc>
        <w:tc>
          <w:tcPr>
            <w:tcW w:w="800" w:type="pct"/>
            <w:vAlign w:val="bottom"/>
          </w:tcPr>
          <w:p w14:paraId="138BF66C" w14:textId="77777777" w:rsidR="0087775A" w:rsidRDefault="00BB042B">
            <w:pPr>
              <w:spacing w:after="0" w:line="240" w:lineRule="auto"/>
              <w:jc w:val="right"/>
            </w:pPr>
            <w:r>
              <w:rPr>
                <w:rFonts w:ascii="Times New Roman" w:hAnsi="Times New Roman" w:cs="Times New Roman"/>
                <w:sz w:val="18"/>
              </w:rPr>
              <w:t>146.736.157</w:t>
            </w:r>
          </w:p>
        </w:tc>
        <w:tc>
          <w:tcPr>
            <w:tcW w:w="800" w:type="pct"/>
            <w:vAlign w:val="bottom"/>
          </w:tcPr>
          <w:p w14:paraId="7B793C36" w14:textId="77777777" w:rsidR="0087775A" w:rsidRDefault="00BB042B">
            <w:pPr>
              <w:spacing w:after="0" w:line="240" w:lineRule="auto"/>
              <w:jc w:val="right"/>
            </w:pPr>
            <w:r>
              <w:rPr>
                <w:rFonts w:ascii="Times New Roman" w:hAnsi="Times New Roman" w:cs="Times New Roman"/>
                <w:sz w:val="18"/>
              </w:rPr>
              <w:t>413.608.609</w:t>
            </w:r>
          </w:p>
        </w:tc>
        <w:tc>
          <w:tcPr>
            <w:tcW w:w="800" w:type="pct"/>
            <w:vAlign w:val="bottom"/>
          </w:tcPr>
          <w:p w14:paraId="7507DF8C" w14:textId="77777777" w:rsidR="0087775A" w:rsidRDefault="00584547">
            <w:pPr>
              <w:spacing w:after="0" w:line="240" w:lineRule="auto"/>
              <w:jc w:val="right"/>
            </w:pPr>
            <w:r>
              <w:rPr>
                <w:rFonts w:ascii="Times New Roman" w:hAnsi="Times New Roman" w:cs="Times New Roman"/>
                <w:sz w:val="18"/>
              </w:rPr>
              <w:t>185.050.448</w:t>
            </w:r>
          </w:p>
        </w:tc>
        <w:tc>
          <w:tcPr>
            <w:tcW w:w="500" w:type="pct"/>
            <w:vAlign w:val="bottom"/>
          </w:tcPr>
          <w:p w14:paraId="4A17E87B" w14:textId="77777777" w:rsidR="0087775A" w:rsidRPr="00584547" w:rsidRDefault="00584547">
            <w:pPr>
              <w:spacing w:after="0" w:line="240" w:lineRule="auto"/>
              <w:jc w:val="right"/>
              <w:rPr>
                <w:rFonts w:ascii="Times New Roman" w:hAnsi="Times New Roman" w:cs="Times New Roman"/>
                <w:sz w:val="18"/>
              </w:rPr>
            </w:pPr>
            <w:r w:rsidRPr="00584547">
              <w:rPr>
                <w:rFonts w:ascii="Times New Roman" w:hAnsi="Times New Roman" w:cs="Times New Roman"/>
                <w:sz w:val="18"/>
              </w:rPr>
              <w:t>126,1</w:t>
            </w:r>
          </w:p>
        </w:tc>
        <w:tc>
          <w:tcPr>
            <w:tcW w:w="500" w:type="pct"/>
            <w:vAlign w:val="bottom"/>
          </w:tcPr>
          <w:p w14:paraId="123EA2CF" w14:textId="77777777" w:rsidR="0087775A" w:rsidRPr="00584547" w:rsidRDefault="00584547">
            <w:pPr>
              <w:spacing w:after="0" w:line="240" w:lineRule="auto"/>
              <w:jc w:val="right"/>
              <w:rPr>
                <w:rFonts w:ascii="Times New Roman" w:hAnsi="Times New Roman" w:cs="Times New Roman"/>
                <w:sz w:val="18"/>
              </w:rPr>
            </w:pPr>
            <w:r w:rsidRPr="00584547">
              <w:rPr>
                <w:rFonts w:ascii="Times New Roman" w:hAnsi="Times New Roman" w:cs="Times New Roman"/>
                <w:sz w:val="18"/>
              </w:rPr>
              <w:t>44,7</w:t>
            </w:r>
          </w:p>
        </w:tc>
      </w:tr>
      <w:tr w:rsidR="0087775A" w14:paraId="62789F50" w14:textId="77777777">
        <w:tc>
          <w:tcPr>
            <w:tcW w:w="1400" w:type="pct"/>
            <w:vAlign w:val="bottom"/>
          </w:tcPr>
          <w:p w14:paraId="66BDE168" w14:textId="77777777" w:rsidR="0087775A" w:rsidRDefault="00BB042B">
            <w:pPr>
              <w:spacing w:after="0" w:line="240" w:lineRule="auto"/>
            </w:pPr>
            <w:r>
              <w:rPr>
                <w:rFonts w:ascii="Times New Roman" w:hAnsi="Times New Roman" w:cs="Times New Roman"/>
                <w:sz w:val="18"/>
              </w:rPr>
              <w:t>7 PRIHODI OD PRODAJE NEFINANCIJSKE IMOVINE</w:t>
            </w:r>
          </w:p>
        </w:tc>
        <w:tc>
          <w:tcPr>
            <w:tcW w:w="800" w:type="pct"/>
            <w:vAlign w:val="bottom"/>
          </w:tcPr>
          <w:p w14:paraId="1D7D2FB2" w14:textId="77777777" w:rsidR="0087775A" w:rsidRDefault="00BB042B">
            <w:pPr>
              <w:spacing w:after="0" w:line="240" w:lineRule="auto"/>
              <w:jc w:val="right"/>
            </w:pPr>
            <w:r>
              <w:rPr>
                <w:rFonts w:ascii="Times New Roman" w:hAnsi="Times New Roman" w:cs="Times New Roman"/>
                <w:sz w:val="18"/>
              </w:rPr>
              <w:t>12.508</w:t>
            </w:r>
          </w:p>
        </w:tc>
        <w:tc>
          <w:tcPr>
            <w:tcW w:w="800" w:type="pct"/>
            <w:vAlign w:val="bottom"/>
          </w:tcPr>
          <w:p w14:paraId="669B7C21" w14:textId="77777777" w:rsidR="0087775A" w:rsidRDefault="00BB042B">
            <w:pPr>
              <w:spacing w:after="0" w:line="240" w:lineRule="auto"/>
              <w:jc w:val="right"/>
            </w:pPr>
            <w:r>
              <w:rPr>
                <w:rFonts w:ascii="Times New Roman" w:hAnsi="Times New Roman" w:cs="Times New Roman"/>
                <w:sz w:val="18"/>
              </w:rPr>
              <w:t>0</w:t>
            </w:r>
          </w:p>
        </w:tc>
        <w:tc>
          <w:tcPr>
            <w:tcW w:w="800" w:type="pct"/>
            <w:vAlign w:val="bottom"/>
          </w:tcPr>
          <w:p w14:paraId="75F5EE3A" w14:textId="77777777" w:rsidR="0087775A" w:rsidRDefault="00BB042B">
            <w:pPr>
              <w:spacing w:after="0" w:line="240" w:lineRule="auto"/>
              <w:jc w:val="right"/>
            </w:pPr>
            <w:r>
              <w:rPr>
                <w:rFonts w:ascii="Times New Roman" w:hAnsi="Times New Roman" w:cs="Times New Roman"/>
                <w:sz w:val="18"/>
              </w:rPr>
              <w:t>0</w:t>
            </w:r>
          </w:p>
        </w:tc>
        <w:tc>
          <w:tcPr>
            <w:tcW w:w="500" w:type="pct"/>
            <w:vAlign w:val="bottom"/>
          </w:tcPr>
          <w:p w14:paraId="76C12B04" w14:textId="77777777" w:rsidR="0087775A" w:rsidRDefault="0087775A">
            <w:pPr>
              <w:spacing w:after="0" w:line="240" w:lineRule="auto"/>
              <w:jc w:val="right"/>
            </w:pPr>
          </w:p>
        </w:tc>
        <w:tc>
          <w:tcPr>
            <w:tcW w:w="500" w:type="pct"/>
            <w:vAlign w:val="bottom"/>
          </w:tcPr>
          <w:p w14:paraId="6B9C33B5" w14:textId="77777777" w:rsidR="0087775A" w:rsidRDefault="0087775A">
            <w:pPr>
              <w:spacing w:after="0" w:line="240" w:lineRule="auto"/>
              <w:jc w:val="right"/>
            </w:pPr>
          </w:p>
        </w:tc>
      </w:tr>
      <w:tr w:rsidR="0087775A" w14:paraId="73B15480" w14:textId="77777777">
        <w:tc>
          <w:tcPr>
            <w:tcW w:w="1400" w:type="pct"/>
            <w:vAlign w:val="bottom"/>
          </w:tcPr>
          <w:p w14:paraId="4884A3F1" w14:textId="77777777" w:rsidR="0087775A" w:rsidRDefault="00BB042B">
            <w:pPr>
              <w:spacing w:after="0" w:line="240" w:lineRule="auto"/>
            </w:pPr>
            <w:r>
              <w:rPr>
                <w:rFonts w:ascii="Times New Roman" w:hAnsi="Times New Roman" w:cs="Times New Roman"/>
                <w:b/>
                <w:sz w:val="18"/>
              </w:rPr>
              <w:t>UKUPNI PRIHODI</w:t>
            </w:r>
          </w:p>
        </w:tc>
        <w:tc>
          <w:tcPr>
            <w:tcW w:w="800" w:type="pct"/>
            <w:vAlign w:val="bottom"/>
          </w:tcPr>
          <w:p w14:paraId="23923343" w14:textId="77777777" w:rsidR="0087775A" w:rsidRDefault="00BB042B">
            <w:pPr>
              <w:spacing w:after="0" w:line="240" w:lineRule="auto"/>
              <w:jc w:val="right"/>
            </w:pPr>
            <w:r>
              <w:rPr>
                <w:rFonts w:ascii="Times New Roman" w:hAnsi="Times New Roman" w:cs="Times New Roman"/>
                <w:b/>
                <w:sz w:val="18"/>
              </w:rPr>
              <w:t>146.748.665</w:t>
            </w:r>
          </w:p>
        </w:tc>
        <w:tc>
          <w:tcPr>
            <w:tcW w:w="800" w:type="pct"/>
            <w:vAlign w:val="bottom"/>
          </w:tcPr>
          <w:p w14:paraId="3AC55B98" w14:textId="77777777" w:rsidR="0087775A" w:rsidRDefault="00BB042B">
            <w:pPr>
              <w:spacing w:after="0" w:line="240" w:lineRule="auto"/>
              <w:jc w:val="right"/>
            </w:pPr>
            <w:r>
              <w:rPr>
                <w:rFonts w:ascii="Times New Roman" w:hAnsi="Times New Roman" w:cs="Times New Roman"/>
                <w:b/>
                <w:sz w:val="18"/>
              </w:rPr>
              <w:t>413.608.609</w:t>
            </w:r>
          </w:p>
        </w:tc>
        <w:tc>
          <w:tcPr>
            <w:tcW w:w="800" w:type="pct"/>
            <w:vAlign w:val="bottom"/>
          </w:tcPr>
          <w:p w14:paraId="4057B048" w14:textId="77777777" w:rsidR="0087775A" w:rsidRDefault="00584547">
            <w:pPr>
              <w:spacing w:after="0" w:line="240" w:lineRule="auto"/>
              <w:jc w:val="right"/>
            </w:pPr>
            <w:r>
              <w:rPr>
                <w:rFonts w:ascii="Times New Roman" w:hAnsi="Times New Roman" w:cs="Times New Roman"/>
                <w:b/>
                <w:sz w:val="18"/>
              </w:rPr>
              <w:t>185.050.448</w:t>
            </w:r>
          </w:p>
        </w:tc>
        <w:tc>
          <w:tcPr>
            <w:tcW w:w="500" w:type="pct"/>
            <w:vAlign w:val="bottom"/>
          </w:tcPr>
          <w:p w14:paraId="7F12A0BB" w14:textId="77777777" w:rsidR="0087775A" w:rsidRPr="00584547" w:rsidRDefault="00584547">
            <w:pPr>
              <w:spacing w:after="0" w:line="240" w:lineRule="auto"/>
              <w:jc w:val="right"/>
              <w:rPr>
                <w:rFonts w:ascii="Times New Roman" w:hAnsi="Times New Roman" w:cs="Times New Roman"/>
                <w:b/>
                <w:sz w:val="18"/>
              </w:rPr>
            </w:pPr>
            <w:r w:rsidRPr="00584547">
              <w:rPr>
                <w:rFonts w:ascii="Times New Roman" w:hAnsi="Times New Roman" w:cs="Times New Roman"/>
                <w:b/>
                <w:sz w:val="18"/>
              </w:rPr>
              <w:t>126,1</w:t>
            </w:r>
          </w:p>
        </w:tc>
        <w:tc>
          <w:tcPr>
            <w:tcW w:w="500" w:type="pct"/>
            <w:vAlign w:val="bottom"/>
          </w:tcPr>
          <w:p w14:paraId="08AD1954" w14:textId="77777777" w:rsidR="0087775A" w:rsidRPr="00584547" w:rsidRDefault="00584547">
            <w:pPr>
              <w:spacing w:after="0" w:line="240" w:lineRule="auto"/>
              <w:jc w:val="right"/>
              <w:rPr>
                <w:rFonts w:ascii="Times New Roman" w:hAnsi="Times New Roman" w:cs="Times New Roman"/>
                <w:b/>
                <w:sz w:val="18"/>
              </w:rPr>
            </w:pPr>
            <w:r w:rsidRPr="00584547">
              <w:rPr>
                <w:rFonts w:ascii="Times New Roman" w:hAnsi="Times New Roman" w:cs="Times New Roman"/>
                <w:b/>
                <w:sz w:val="18"/>
              </w:rPr>
              <w:t>44,7</w:t>
            </w:r>
          </w:p>
        </w:tc>
      </w:tr>
    </w:tbl>
    <w:p w14:paraId="75039A0C" w14:textId="77777777" w:rsidR="0087775A" w:rsidRDefault="0087775A">
      <w:pPr>
        <w:spacing w:after="0" w:line="240" w:lineRule="auto"/>
      </w:pPr>
    </w:p>
    <w:p w14:paraId="2639BFC3" w14:textId="356934A2" w:rsidR="00980B18"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DC0360">
        <w:rPr>
          <w:rFonts w:ascii="Times New Roman" w:eastAsia="Times New Roman" w:hAnsi="Times New Roman" w:cs="Times New Roman"/>
          <w:iCs/>
          <w:sz w:val="24"/>
          <w:szCs w:val="24"/>
        </w:rPr>
        <w:t>P</w:t>
      </w:r>
      <w:r w:rsidRPr="00CD6E12">
        <w:rPr>
          <w:rFonts w:ascii="Times New Roman" w:eastAsia="Times New Roman" w:hAnsi="Times New Roman" w:cs="Times New Roman"/>
          <w:iCs/>
          <w:sz w:val="24"/>
          <w:szCs w:val="24"/>
        </w:rPr>
        <w:t xml:space="preserve">rihodi Fonda u </w:t>
      </w:r>
      <w:r w:rsidRPr="00CD6E12">
        <w:rPr>
          <w:rFonts w:ascii="Times New Roman" w:eastAsia="Times New Roman" w:hAnsi="Times New Roman" w:cs="Times New Roman"/>
          <w:bCs/>
          <w:iCs/>
          <w:sz w:val="24"/>
          <w:szCs w:val="24"/>
        </w:rPr>
        <w:t>razdoblju I.-VI.</w:t>
      </w:r>
      <w:r w:rsidRPr="00CD6E12">
        <w:rPr>
          <w:rFonts w:ascii="Times New Roman" w:eastAsia="Times New Roman" w:hAnsi="Times New Roman" w:cs="Times New Roman"/>
          <w:iCs/>
          <w:sz w:val="24"/>
          <w:szCs w:val="24"/>
        </w:rPr>
        <w:t xml:space="preserve"> 2023. godine ostvareni </w:t>
      </w:r>
      <w:r>
        <w:rPr>
          <w:rFonts w:ascii="Times New Roman" w:eastAsia="Times New Roman" w:hAnsi="Times New Roman" w:cs="Times New Roman"/>
          <w:iCs/>
          <w:sz w:val="24"/>
          <w:szCs w:val="24"/>
        </w:rPr>
        <w:t xml:space="preserve">su </w:t>
      </w:r>
      <w:r w:rsidRPr="00CD6E12">
        <w:rPr>
          <w:rFonts w:ascii="Times New Roman" w:eastAsia="Times New Roman" w:hAnsi="Times New Roman" w:cs="Times New Roman"/>
          <w:iCs/>
          <w:sz w:val="24"/>
          <w:szCs w:val="24"/>
        </w:rPr>
        <w:t>u iznosu od 185.05</w:t>
      </w:r>
      <w:r w:rsidRPr="00DC0360">
        <w:rPr>
          <w:rFonts w:ascii="Times New Roman" w:eastAsia="Times New Roman" w:hAnsi="Times New Roman" w:cs="Times New Roman"/>
          <w:iCs/>
          <w:sz w:val="24"/>
          <w:szCs w:val="24"/>
        </w:rPr>
        <w:t>0</w:t>
      </w:r>
      <w:r w:rsidRPr="00CD6E12">
        <w:rPr>
          <w:rFonts w:ascii="Times New Roman" w:eastAsia="Times New Roman" w:hAnsi="Times New Roman" w:cs="Times New Roman"/>
          <w:iCs/>
          <w:sz w:val="24"/>
          <w:szCs w:val="24"/>
        </w:rPr>
        <w:t>.</w:t>
      </w:r>
      <w:r w:rsidRPr="00DC0360">
        <w:rPr>
          <w:rFonts w:ascii="Times New Roman" w:eastAsia="Times New Roman" w:hAnsi="Times New Roman" w:cs="Times New Roman"/>
          <w:iCs/>
          <w:sz w:val="24"/>
          <w:szCs w:val="24"/>
        </w:rPr>
        <w:t>447</w:t>
      </w:r>
      <w:r w:rsidRPr="00CD6E12">
        <w:rPr>
          <w:rFonts w:ascii="Times New Roman" w:eastAsia="Times New Roman" w:hAnsi="Times New Roman" w:cs="Times New Roman"/>
          <w:iCs/>
          <w:sz w:val="24"/>
          <w:szCs w:val="24"/>
        </w:rPr>
        <w:t>,</w:t>
      </w:r>
      <w:r w:rsidRPr="00DC0360">
        <w:rPr>
          <w:rFonts w:ascii="Times New Roman" w:eastAsia="Times New Roman" w:hAnsi="Times New Roman" w:cs="Times New Roman"/>
          <w:iCs/>
          <w:sz w:val="24"/>
          <w:szCs w:val="24"/>
        </w:rPr>
        <w:t>94</w:t>
      </w:r>
      <w:r w:rsidRPr="00CD6E12">
        <w:rPr>
          <w:rFonts w:ascii="Times New Roman" w:eastAsia="Times New Roman" w:hAnsi="Times New Roman" w:cs="Times New Roman"/>
          <w:iCs/>
          <w:sz w:val="24"/>
          <w:szCs w:val="24"/>
        </w:rPr>
        <w:t xml:space="preserve"> EUR ili 44,74% godišnjeg plana te su unatoč smanjenju pomoći iz inozemstva i subjekata unutar općeg proračuna veći od prihoda u istom razdoblju 2022. godine </w:t>
      </w:r>
      <w:r w:rsidRPr="00FC7BB8">
        <w:rPr>
          <w:rFonts w:ascii="Times New Roman" w:eastAsia="Times New Roman" w:hAnsi="Times New Roman" w:cs="Times New Roman"/>
          <w:iCs/>
          <w:sz w:val="24"/>
          <w:szCs w:val="24"/>
        </w:rPr>
        <w:t>za 38.301.783,4</w:t>
      </w:r>
      <w:r w:rsidR="002F0980" w:rsidRPr="00FC7BB8">
        <w:rPr>
          <w:rFonts w:ascii="Times New Roman" w:eastAsia="Times New Roman" w:hAnsi="Times New Roman" w:cs="Times New Roman"/>
          <w:iCs/>
          <w:sz w:val="24"/>
          <w:szCs w:val="24"/>
        </w:rPr>
        <w:t>3</w:t>
      </w:r>
      <w:r w:rsidRPr="00FC7BB8">
        <w:rPr>
          <w:rFonts w:ascii="Times New Roman" w:eastAsia="Times New Roman" w:hAnsi="Times New Roman" w:cs="Times New Roman"/>
          <w:iCs/>
          <w:sz w:val="24"/>
          <w:szCs w:val="24"/>
        </w:rPr>
        <w:t xml:space="preserve"> EUR</w:t>
      </w:r>
      <w:r w:rsidRPr="00CD6E12">
        <w:rPr>
          <w:rFonts w:ascii="Times New Roman" w:eastAsia="Times New Roman" w:hAnsi="Times New Roman" w:cs="Times New Roman"/>
          <w:iCs/>
          <w:sz w:val="24"/>
          <w:szCs w:val="24"/>
        </w:rPr>
        <w:t xml:space="preserve"> odnosno za 26,</w:t>
      </w:r>
      <w:r>
        <w:rPr>
          <w:rFonts w:ascii="Times New Roman" w:eastAsia="Times New Roman" w:hAnsi="Times New Roman" w:cs="Times New Roman"/>
          <w:iCs/>
          <w:sz w:val="24"/>
          <w:szCs w:val="24"/>
        </w:rPr>
        <w:t>10</w:t>
      </w:r>
      <w:r w:rsidRPr="00CD6E12">
        <w:rPr>
          <w:rFonts w:ascii="Times New Roman" w:eastAsia="Times New Roman" w:hAnsi="Times New Roman" w:cs="Times New Roman"/>
          <w:iCs/>
          <w:sz w:val="24"/>
          <w:szCs w:val="24"/>
        </w:rPr>
        <w:t>%, uslijed povećanja prihoda s osnove Upravnih i administrativnih pristojbi (naknada).</w:t>
      </w:r>
    </w:p>
    <w:p w14:paraId="107E69FE" w14:textId="77777777" w:rsidR="00980B18"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5B34F0">
        <w:rPr>
          <w:rFonts w:ascii="Times New Roman" w:eastAsia="Times New Roman" w:hAnsi="Times New Roman" w:cs="Times New Roman"/>
          <w:iCs/>
          <w:sz w:val="24"/>
          <w:szCs w:val="24"/>
        </w:rPr>
        <w:t>Najveće udio povećanja s osnove Upravnih i administrativnih pristojbi u odnosu na isto razdoblje 2022. godine odnosi se na prihode od naknad</w:t>
      </w:r>
      <w:r>
        <w:rPr>
          <w:rFonts w:ascii="Times New Roman" w:eastAsia="Times New Roman" w:hAnsi="Times New Roman" w:cs="Times New Roman"/>
          <w:iCs/>
          <w:sz w:val="24"/>
          <w:szCs w:val="24"/>
        </w:rPr>
        <w:t>a</w:t>
      </w:r>
      <w:r w:rsidRPr="005B34F0">
        <w:rPr>
          <w:rFonts w:ascii="Times New Roman" w:eastAsia="Times New Roman" w:hAnsi="Times New Roman" w:cs="Times New Roman"/>
          <w:iCs/>
          <w:sz w:val="24"/>
          <w:szCs w:val="24"/>
        </w:rPr>
        <w:t xml:space="preserve"> za ambalažu i ambalažni otpad, naknada za gospodarenje otpadnim vozilima te naknada za gospodarenje EE otpadom.</w:t>
      </w:r>
    </w:p>
    <w:p w14:paraId="5CB4FA0E" w14:textId="77777777" w:rsidR="00980B18" w:rsidRPr="00DC0360" w:rsidRDefault="00980B18" w:rsidP="00A02F90">
      <w:pPr>
        <w:spacing w:after="0" w:line="240" w:lineRule="auto"/>
        <w:jc w:val="both"/>
        <w:rPr>
          <w:rFonts w:ascii="Times New Roman" w:hAnsi="Times New Roman" w:cs="Times New Roman"/>
          <w:sz w:val="24"/>
          <w:szCs w:val="24"/>
        </w:rPr>
      </w:pPr>
    </w:p>
    <w:p w14:paraId="25E9E18D"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CD6E12">
        <w:rPr>
          <w:rFonts w:ascii="Times New Roman" w:eastAsia="Times New Roman" w:hAnsi="Times New Roman" w:cs="Times New Roman"/>
          <w:bCs/>
          <w:iCs/>
          <w:sz w:val="24"/>
          <w:szCs w:val="24"/>
        </w:rPr>
        <w:t>Pomoći proračunu iz drugih proračuna</w:t>
      </w:r>
      <w:r w:rsidRPr="00DC0360">
        <w:rPr>
          <w:rFonts w:ascii="Times New Roman" w:eastAsia="Times New Roman" w:hAnsi="Times New Roman" w:cs="Times New Roman"/>
          <w:bCs/>
          <w:iCs/>
          <w:sz w:val="24"/>
          <w:szCs w:val="24"/>
        </w:rPr>
        <w:t xml:space="preserve"> </w:t>
      </w:r>
      <w:r w:rsidRPr="00CD6E12">
        <w:rPr>
          <w:rFonts w:ascii="Times New Roman" w:eastAsia="Times New Roman" w:hAnsi="Times New Roman" w:cs="Times New Roman"/>
          <w:bCs/>
          <w:iCs/>
          <w:sz w:val="24"/>
          <w:szCs w:val="24"/>
        </w:rPr>
        <w:t>ostvarene</w:t>
      </w:r>
      <w:r w:rsidRPr="00CD6E12">
        <w:rPr>
          <w:rFonts w:ascii="Times New Roman" w:eastAsia="Times New Roman" w:hAnsi="Times New Roman" w:cs="Times New Roman"/>
          <w:iCs/>
          <w:sz w:val="24"/>
          <w:szCs w:val="24"/>
        </w:rPr>
        <w:t xml:space="preserve"> su u iznosu od 559.520,25 EUR (53,19% planiranih sredstava), a odnose se na dio financijskih sredstava od prodaje emisijskih jedinica stakleničkih plinova putem dražbi za pokriće administrativnih troškova Fonda.</w:t>
      </w:r>
    </w:p>
    <w:p w14:paraId="187E985F"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bCs/>
          <w:iCs/>
          <w:sz w:val="24"/>
          <w:szCs w:val="24"/>
        </w:rPr>
      </w:pPr>
    </w:p>
    <w:p w14:paraId="4BA82630"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CD6E12">
        <w:rPr>
          <w:rFonts w:ascii="Times New Roman" w:eastAsia="Times New Roman" w:hAnsi="Times New Roman" w:cs="Times New Roman"/>
          <w:bCs/>
          <w:iCs/>
          <w:sz w:val="24"/>
          <w:szCs w:val="24"/>
        </w:rPr>
        <w:t xml:space="preserve">Pomoći temeljem prijenosa EU sredstava </w:t>
      </w:r>
      <w:r w:rsidRPr="00CD6E12">
        <w:rPr>
          <w:rFonts w:ascii="Times New Roman" w:eastAsia="Times New Roman" w:hAnsi="Times New Roman" w:cs="Times New Roman"/>
          <w:iCs/>
          <w:sz w:val="24"/>
          <w:szCs w:val="24"/>
        </w:rPr>
        <w:t>ostvarene su u iznosu od 1.914.502,19 EUR (24,48% planiranih sredstava), a najveći dio u iznosu od 1.314.695,76 EUR  se odnosi na pomoći za Fond solidarnosti, projekt sanacije odlagališta opasnog otpada Sovjak, na pomoći iz državnog proračuna temeljem prijenosa EU sredstava za tehničku pomoć za rad posredničkog tijela razine 2 (PT2) i refundaciju sredstava za pružanje tehničke pomoći na Javnom pozivu energetska obnova i korištenje obnovljivih izvora na zgradama javnog sektora.</w:t>
      </w:r>
    </w:p>
    <w:p w14:paraId="0CCDE9B0"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p>
    <w:p w14:paraId="528ACE24"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CD6E12">
        <w:rPr>
          <w:rFonts w:ascii="Times New Roman" w:eastAsia="Times New Roman" w:hAnsi="Times New Roman" w:cs="Times New Roman"/>
          <w:bCs/>
          <w:iCs/>
          <w:sz w:val="24"/>
          <w:szCs w:val="24"/>
        </w:rPr>
        <w:t xml:space="preserve">Prihodi od financijske imovine </w:t>
      </w:r>
      <w:r w:rsidRPr="00CD6E12">
        <w:rPr>
          <w:rFonts w:ascii="Times New Roman" w:eastAsia="Times New Roman" w:hAnsi="Times New Roman" w:cs="Times New Roman"/>
          <w:iCs/>
          <w:sz w:val="24"/>
          <w:szCs w:val="24"/>
        </w:rPr>
        <w:t>ostvareni su u iznosu od 183.765,48 EUR (19,50% planiranih sredstava), a odnose se na zakonske zatezne kamate, kamate na depozite po viđenju i ostale prihode od financijske imovine.</w:t>
      </w:r>
    </w:p>
    <w:p w14:paraId="321326AD"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p>
    <w:p w14:paraId="23BF8E65"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CD6E12">
        <w:rPr>
          <w:rFonts w:ascii="Times New Roman" w:eastAsia="Times New Roman" w:hAnsi="Times New Roman" w:cs="Times New Roman"/>
          <w:bCs/>
          <w:iCs/>
          <w:sz w:val="24"/>
          <w:szCs w:val="24"/>
        </w:rPr>
        <w:t>Prihodi s osnove upravnih i administrativnih pristojbi os</w:t>
      </w:r>
      <w:r w:rsidRPr="00CD6E12">
        <w:rPr>
          <w:rFonts w:ascii="Times New Roman" w:eastAsia="Times New Roman" w:hAnsi="Times New Roman" w:cs="Times New Roman"/>
          <w:iCs/>
          <w:sz w:val="24"/>
          <w:szCs w:val="24"/>
        </w:rPr>
        <w:t>tvareni su u iznosu od 91.888.839,29 EUR (52,08% planiranih sredstava), a odnose se na prihode od naknada temeljem Zakona o Fondu</w:t>
      </w:r>
      <w:r>
        <w:rPr>
          <w:rFonts w:ascii="Times New Roman" w:eastAsia="Times New Roman" w:hAnsi="Times New Roman" w:cs="Times New Roman"/>
          <w:iCs/>
          <w:sz w:val="24"/>
          <w:szCs w:val="24"/>
        </w:rPr>
        <w:t xml:space="preserve"> </w:t>
      </w:r>
      <w:r w:rsidRPr="00A5661F">
        <w:rPr>
          <w:rFonts w:ascii="Times New Roman" w:eastAsia="Times New Roman" w:hAnsi="Times New Roman" w:cs="Times New Roman"/>
          <w:iCs/>
          <w:sz w:val="24"/>
          <w:szCs w:val="24"/>
        </w:rPr>
        <w:t>za zaštitu okoliša i energetsku učinkovitost</w:t>
      </w:r>
      <w:r w:rsidRPr="00CD6E12">
        <w:rPr>
          <w:rFonts w:ascii="Times New Roman" w:eastAsia="Times New Roman" w:hAnsi="Times New Roman" w:cs="Times New Roman"/>
          <w:iCs/>
          <w:sz w:val="24"/>
          <w:szCs w:val="24"/>
        </w:rPr>
        <w:t xml:space="preserve"> </w:t>
      </w:r>
      <w:r w:rsidRPr="00A5661F">
        <w:rPr>
          <w:rFonts w:ascii="Times New Roman" w:eastAsia="Times New Roman" w:hAnsi="Times New Roman" w:cs="Times New Roman"/>
          <w:iCs/>
          <w:sz w:val="24"/>
          <w:szCs w:val="24"/>
        </w:rPr>
        <w:t>(NN 107/03 i 144/12)</w:t>
      </w:r>
      <w:r>
        <w:rPr>
          <w:rFonts w:ascii="Times New Roman" w:eastAsia="Times New Roman" w:hAnsi="Times New Roman" w:cs="Times New Roman"/>
          <w:iCs/>
          <w:sz w:val="24"/>
          <w:szCs w:val="24"/>
        </w:rPr>
        <w:t xml:space="preserve"> </w:t>
      </w:r>
      <w:r w:rsidRPr="00CD6E12">
        <w:rPr>
          <w:rFonts w:ascii="Times New Roman" w:eastAsia="Times New Roman" w:hAnsi="Times New Roman" w:cs="Times New Roman"/>
          <w:iCs/>
          <w:sz w:val="24"/>
          <w:szCs w:val="24"/>
        </w:rPr>
        <w:t xml:space="preserve">u iznosu od 13.662.414,71 EUR, prihode od naknada temeljem Zakona o gospodarenju otpadom </w:t>
      </w:r>
      <w:r>
        <w:rPr>
          <w:rFonts w:ascii="Times New Roman" w:eastAsia="Times New Roman" w:hAnsi="Times New Roman" w:cs="Times New Roman"/>
          <w:iCs/>
          <w:sz w:val="24"/>
          <w:szCs w:val="24"/>
        </w:rPr>
        <w:t xml:space="preserve">(NN 84/21) </w:t>
      </w:r>
      <w:r w:rsidRPr="00CD6E12">
        <w:rPr>
          <w:rFonts w:ascii="Times New Roman" w:eastAsia="Times New Roman" w:hAnsi="Times New Roman" w:cs="Times New Roman"/>
          <w:iCs/>
          <w:sz w:val="24"/>
          <w:szCs w:val="24"/>
        </w:rPr>
        <w:t>u iznosu od 77.834.083,24 EUR, prihode od neostvarenih ušteda energije temeljem Zakona o energetskoj učinkovitosti (NN 127/2014, 116/2018, 25/2020 i 41/2021) u iznosu od 351.302,87 EUR, prihode od naknade</w:t>
      </w:r>
      <w:r w:rsidRPr="00CD6E12">
        <w:rPr>
          <w:rFonts w:ascii="Times New Roman" w:eastAsia="Times New Roman" w:hAnsi="Times New Roman" w:cs="Times New Roman"/>
          <w:b/>
          <w:bCs/>
          <w:sz w:val="24"/>
          <w:szCs w:val="24"/>
        </w:rPr>
        <w:t xml:space="preserve"> </w:t>
      </w:r>
      <w:r w:rsidRPr="00CD6E12">
        <w:rPr>
          <w:rFonts w:ascii="Times New Roman" w:eastAsia="Times New Roman" w:hAnsi="Times New Roman" w:cs="Times New Roman"/>
          <w:iCs/>
          <w:sz w:val="24"/>
          <w:szCs w:val="24"/>
        </w:rPr>
        <w:t>za EU ecolabel temeljem Zakona o zaštiti okoliša (NN </w:t>
      </w:r>
      <w:hyperlink r:id="rId8" w:tgtFrame="_blank" w:history="1">
        <w:r w:rsidRPr="00CD6E12">
          <w:rPr>
            <w:rFonts w:ascii="Times New Roman" w:eastAsia="Times New Roman" w:hAnsi="Times New Roman" w:cs="Times New Roman"/>
            <w:iCs/>
            <w:sz w:val="24"/>
            <w:szCs w:val="24"/>
          </w:rPr>
          <w:t>80/13</w:t>
        </w:r>
      </w:hyperlink>
      <w:r w:rsidRPr="00CD6E12">
        <w:rPr>
          <w:rFonts w:ascii="Times New Roman" w:eastAsia="Times New Roman" w:hAnsi="Times New Roman" w:cs="Times New Roman"/>
          <w:iCs/>
          <w:sz w:val="24"/>
          <w:szCs w:val="24"/>
        </w:rPr>
        <w:t>, </w:t>
      </w:r>
      <w:hyperlink r:id="rId9" w:tgtFrame="_blank" w:history="1">
        <w:r w:rsidRPr="00CD6E12">
          <w:rPr>
            <w:rFonts w:ascii="Times New Roman" w:eastAsia="Times New Roman" w:hAnsi="Times New Roman" w:cs="Times New Roman"/>
            <w:iCs/>
            <w:sz w:val="24"/>
            <w:szCs w:val="24"/>
          </w:rPr>
          <w:t>153/13</w:t>
        </w:r>
      </w:hyperlink>
      <w:r w:rsidRPr="00CD6E12">
        <w:rPr>
          <w:rFonts w:ascii="Times New Roman" w:eastAsia="Times New Roman" w:hAnsi="Times New Roman" w:cs="Times New Roman"/>
          <w:iCs/>
          <w:sz w:val="24"/>
          <w:szCs w:val="24"/>
        </w:rPr>
        <w:t>, </w:t>
      </w:r>
      <w:hyperlink r:id="rId10" w:tgtFrame="_blank" w:history="1">
        <w:r w:rsidRPr="00CD6E12">
          <w:rPr>
            <w:rFonts w:ascii="Times New Roman" w:eastAsia="Times New Roman" w:hAnsi="Times New Roman" w:cs="Times New Roman"/>
            <w:iCs/>
            <w:sz w:val="24"/>
            <w:szCs w:val="24"/>
          </w:rPr>
          <w:t>78/15</w:t>
        </w:r>
      </w:hyperlink>
      <w:r w:rsidRPr="00CD6E12">
        <w:rPr>
          <w:rFonts w:ascii="Times New Roman" w:eastAsia="Times New Roman" w:hAnsi="Times New Roman" w:cs="Times New Roman"/>
          <w:iCs/>
          <w:sz w:val="24"/>
          <w:szCs w:val="24"/>
        </w:rPr>
        <w:t>, </w:t>
      </w:r>
      <w:hyperlink r:id="rId11" w:tgtFrame="_blank" w:history="1">
        <w:r w:rsidRPr="00CD6E12">
          <w:rPr>
            <w:rFonts w:ascii="Times New Roman" w:eastAsia="Times New Roman" w:hAnsi="Times New Roman" w:cs="Times New Roman"/>
            <w:iCs/>
            <w:sz w:val="24"/>
            <w:szCs w:val="24"/>
          </w:rPr>
          <w:t>12/18</w:t>
        </w:r>
      </w:hyperlink>
      <w:r w:rsidRPr="00CD6E12">
        <w:rPr>
          <w:rFonts w:ascii="Times New Roman" w:eastAsia="Times New Roman" w:hAnsi="Times New Roman" w:cs="Times New Roman"/>
          <w:iCs/>
          <w:sz w:val="24"/>
          <w:szCs w:val="24"/>
        </w:rPr>
        <w:t>, </w:t>
      </w:r>
      <w:hyperlink r:id="rId12" w:tgtFrame="_blank" w:history="1">
        <w:r w:rsidRPr="00CD6E12">
          <w:rPr>
            <w:rFonts w:ascii="Times New Roman" w:eastAsia="Times New Roman" w:hAnsi="Times New Roman" w:cs="Times New Roman"/>
            <w:iCs/>
            <w:sz w:val="24"/>
            <w:szCs w:val="24"/>
          </w:rPr>
          <w:t>118/18</w:t>
        </w:r>
      </w:hyperlink>
      <w:r w:rsidRPr="00CD6E12">
        <w:rPr>
          <w:rFonts w:ascii="Times New Roman" w:eastAsia="Times New Roman" w:hAnsi="Times New Roman" w:cs="Times New Roman"/>
          <w:iCs/>
          <w:sz w:val="24"/>
          <w:szCs w:val="24"/>
        </w:rPr>
        <w:t>) u iznosu od 212,36 EUR i prihode od kontroliranih tvari temeljem Zakona o klimatskim promjenama i zaštiti ozonskog sloja (NN 127/19) u iznosu od 40.826,11 EUR.</w:t>
      </w:r>
    </w:p>
    <w:p w14:paraId="06C6807A"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p>
    <w:p w14:paraId="083B7C40"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CD6E12">
        <w:rPr>
          <w:rFonts w:ascii="Times New Roman" w:eastAsia="Times New Roman" w:hAnsi="Times New Roman" w:cs="Times New Roman"/>
          <w:iCs/>
          <w:sz w:val="24"/>
          <w:szCs w:val="24"/>
        </w:rPr>
        <w:t>Prihodi po posebnim propisima ostvareni su u iznosu od 90.368.866,86 EUR (39,80% planiranih sredstava), a odnose se na prihode od prodaje emisijskih jedinica stakleničkih plinova putem dražbi temeljem Zakona o klimatskim promjenama i zaštiti ozonskog sloja</w:t>
      </w:r>
      <w:r>
        <w:rPr>
          <w:rFonts w:ascii="Times New Roman" w:eastAsia="Times New Roman" w:hAnsi="Times New Roman" w:cs="Times New Roman"/>
          <w:iCs/>
          <w:sz w:val="24"/>
          <w:szCs w:val="24"/>
        </w:rPr>
        <w:t xml:space="preserve"> (NN 127/19)</w:t>
      </w:r>
      <w:r w:rsidRPr="00CD6E12">
        <w:rPr>
          <w:rFonts w:ascii="Times New Roman" w:eastAsia="Times New Roman" w:hAnsi="Times New Roman" w:cs="Times New Roman"/>
          <w:iCs/>
          <w:sz w:val="24"/>
          <w:szCs w:val="24"/>
        </w:rPr>
        <w:t xml:space="preserve"> u iznosu od 74.970.271,25 EUR, prihod od nestavljanja biogoriva na tržište temeljem Zakona o biogorivima za prijevoz (NN 65/09, 145/10, 26/11, 144/12, 14/14, 94/18, 52/21)  u iznosu od 10.982.851,09 EUR i prihode </w:t>
      </w:r>
      <w:r w:rsidRPr="00DB4040">
        <w:rPr>
          <w:rFonts w:ascii="Times New Roman" w:eastAsia="Times New Roman" w:hAnsi="Times New Roman" w:cs="Times New Roman"/>
          <w:iCs/>
          <w:sz w:val="24"/>
          <w:szCs w:val="24"/>
        </w:rPr>
        <w:t>od viška tržišnih prihoda od energetskih</w:t>
      </w:r>
      <w:r w:rsidRPr="00CD6E12">
        <w:rPr>
          <w:rFonts w:ascii="Times New Roman" w:eastAsia="Times New Roman" w:hAnsi="Times New Roman" w:cs="Times New Roman"/>
          <w:iCs/>
          <w:sz w:val="24"/>
          <w:szCs w:val="24"/>
        </w:rPr>
        <w:t xml:space="preserve"> subjekata temeljem Uredbe o zakonu o hitnoj intervenciji za rješavanje pitanja visokih cijena električne energije (NN 156/22) u iznosu od 4.415.744,52 EUR.</w:t>
      </w:r>
    </w:p>
    <w:p w14:paraId="6D1A5201"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b/>
          <w:bCs/>
          <w:iCs/>
          <w:sz w:val="24"/>
          <w:szCs w:val="24"/>
        </w:rPr>
      </w:pPr>
    </w:p>
    <w:p w14:paraId="25C8D764"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CD6E12">
        <w:rPr>
          <w:rFonts w:ascii="Times New Roman" w:eastAsia="Times New Roman" w:hAnsi="Times New Roman" w:cs="Times New Roman"/>
          <w:bCs/>
          <w:iCs/>
          <w:sz w:val="24"/>
          <w:szCs w:val="24"/>
        </w:rPr>
        <w:t xml:space="preserve">Prihodi od prodaje proizvoda i robe te pruženih usluga </w:t>
      </w:r>
      <w:r w:rsidRPr="00CD6E12">
        <w:rPr>
          <w:rFonts w:ascii="Times New Roman" w:eastAsia="Times New Roman" w:hAnsi="Times New Roman" w:cs="Times New Roman"/>
          <w:iCs/>
          <w:sz w:val="24"/>
          <w:szCs w:val="24"/>
        </w:rPr>
        <w:t>ostvareni su u iznosu od 3.415,50 EUR (12,80% planiranih sredstava), a odnose se na najam prostora (parkirnih mjesta).</w:t>
      </w:r>
    </w:p>
    <w:p w14:paraId="24FBE7E1"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b/>
          <w:iCs/>
          <w:sz w:val="24"/>
          <w:szCs w:val="24"/>
        </w:rPr>
      </w:pPr>
    </w:p>
    <w:p w14:paraId="6EFB6054" w14:textId="77777777" w:rsidR="00980B18" w:rsidRPr="00CD6E12"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CD6E12">
        <w:rPr>
          <w:rFonts w:ascii="Times New Roman" w:eastAsia="Times New Roman" w:hAnsi="Times New Roman" w:cs="Times New Roman"/>
          <w:bCs/>
          <w:iCs/>
          <w:sz w:val="24"/>
          <w:szCs w:val="24"/>
        </w:rPr>
        <w:t xml:space="preserve">Ostali prihodi </w:t>
      </w:r>
      <w:r w:rsidRPr="00CD6E12">
        <w:rPr>
          <w:rFonts w:ascii="Times New Roman" w:eastAsia="Times New Roman" w:hAnsi="Times New Roman" w:cs="Times New Roman"/>
          <w:iCs/>
          <w:sz w:val="24"/>
          <w:szCs w:val="24"/>
        </w:rPr>
        <w:t xml:space="preserve">ostvareni su u iznosu od 131.538,37 EUR (49,55% planiranih sredstava), a najvećim djelom se odnose na naplaćena potraživanja po sudskim presudama. </w:t>
      </w:r>
    </w:p>
    <w:p w14:paraId="3CAB5C32" w14:textId="77777777" w:rsidR="00980B18" w:rsidRDefault="00980B18">
      <w:pPr>
        <w:spacing w:after="0" w:line="240" w:lineRule="auto"/>
      </w:pPr>
    </w:p>
    <w:p w14:paraId="14FCB060" w14:textId="77777777" w:rsidR="0087775A" w:rsidRDefault="00BB042B">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624"/>
        <w:gridCol w:w="1499"/>
        <w:gridCol w:w="1499"/>
        <w:gridCol w:w="1498"/>
        <w:gridCol w:w="937"/>
        <w:gridCol w:w="937"/>
      </w:tblGrid>
      <w:tr w:rsidR="0087775A" w14:paraId="58E40086" w14:textId="77777777">
        <w:tc>
          <w:tcPr>
            <w:tcW w:w="1400" w:type="pct"/>
            <w:shd w:val="clear" w:color="auto" w:fill="BCDFFB"/>
            <w:vAlign w:val="center"/>
          </w:tcPr>
          <w:p w14:paraId="3D070DEB" w14:textId="77777777" w:rsidR="0087775A" w:rsidRDefault="00BB042B">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14:paraId="52ADCF4E" w14:textId="77777777" w:rsidR="0087775A" w:rsidRDefault="00BB042B">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2022.</w:t>
            </w:r>
          </w:p>
        </w:tc>
        <w:tc>
          <w:tcPr>
            <w:tcW w:w="800" w:type="pct"/>
            <w:shd w:val="clear" w:color="auto" w:fill="BCDFFB"/>
            <w:vAlign w:val="center"/>
          </w:tcPr>
          <w:p w14:paraId="70F6C27E" w14:textId="77777777" w:rsidR="0087775A" w:rsidRDefault="00584547">
            <w:pPr>
              <w:spacing w:after="0" w:line="240" w:lineRule="auto"/>
              <w:jc w:val="center"/>
            </w:pPr>
            <w:r>
              <w:rPr>
                <w:rFonts w:ascii="Times New Roman" w:hAnsi="Times New Roman" w:cs="Times New Roman"/>
                <w:b/>
                <w:sz w:val="18"/>
              </w:rPr>
              <w:t>REBALANS</w:t>
            </w:r>
            <w:r w:rsidR="00BB042B">
              <w:rPr>
                <w:rFonts w:ascii="Times New Roman" w:hAnsi="Times New Roman" w:cs="Times New Roman"/>
                <w:b/>
                <w:sz w:val="18"/>
              </w:rPr>
              <w:br/>
              <w:t>2023.</w:t>
            </w:r>
          </w:p>
        </w:tc>
        <w:tc>
          <w:tcPr>
            <w:tcW w:w="800" w:type="pct"/>
            <w:shd w:val="clear" w:color="auto" w:fill="BCDFFB"/>
            <w:vAlign w:val="center"/>
          </w:tcPr>
          <w:p w14:paraId="45904FD6" w14:textId="77777777" w:rsidR="0087775A" w:rsidRDefault="00BB042B">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2023.</w:t>
            </w:r>
          </w:p>
        </w:tc>
        <w:tc>
          <w:tcPr>
            <w:tcW w:w="500" w:type="pct"/>
            <w:shd w:val="clear" w:color="auto" w:fill="BCDFFB"/>
            <w:vAlign w:val="center"/>
          </w:tcPr>
          <w:p w14:paraId="4C53AC84" w14:textId="77777777" w:rsidR="0087775A" w:rsidRDefault="00BB042B">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14:paraId="410E33BF" w14:textId="77777777" w:rsidR="0087775A" w:rsidRDefault="00BB042B">
            <w:pPr>
              <w:spacing w:after="0" w:line="240" w:lineRule="auto"/>
              <w:jc w:val="center"/>
            </w:pPr>
            <w:r>
              <w:rPr>
                <w:rFonts w:ascii="Times New Roman" w:hAnsi="Times New Roman" w:cs="Times New Roman"/>
                <w:b/>
                <w:sz w:val="18"/>
              </w:rPr>
              <w:t>INDEKS</w:t>
            </w:r>
          </w:p>
        </w:tc>
      </w:tr>
      <w:tr w:rsidR="0087775A" w14:paraId="13F4CBDC" w14:textId="77777777">
        <w:tc>
          <w:tcPr>
            <w:tcW w:w="1400" w:type="pct"/>
            <w:shd w:val="clear" w:color="auto" w:fill="BCDFFB"/>
            <w:vAlign w:val="center"/>
          </w:tcPr>
          <w:p w14:paraId="3DF5023A" w14:textId="77777777" w:rsidR="0087775A" w:rsidRDefault="00BB042B">
            <w:pPr>
              <w:spacing w:after="0" w:line="240" w:lineRule="auto"/>
              <w:jc w:val="center"/>
            </w:pPr>
            <w:r>
              <w:rPr>
                <w:rFonts w:ascii="Times New Roman" w:hAnsi="Times New Roman" w:cs="Times New Roman"/>
                <w:sz w:val="14"/>
              </w:rPr>
              <w:t>1</w:t>
            </w:r>
          </w:p>
        </w:tc>
        <w:tc>
          <w:tcPr>
            <w:tcW w:w="800" w:type="pct"/>
            <w:shd w:val="clear" w:color="auto" w:fill="BCDFFB"/>
            <w:vAlign w:val="center"/>
          </w:tcPr>
          <w:p w14:paraId="7B6333F9" w14:textId="77777777" w:rsidR="0087775A" w:rsidRDefault="00BB042B">
            <w:pPr>
              <w:spacing w:after="0" w:line="240" w:lineRule="auto"/>
              <w:jc w:val="center"/>
            </w:pPr>
            <w:r>
              <w:rPr>
                <w:rFonts w:ascii="Times New Roman" w:hAnsi="Times New Roman" w:cs="Times New Roman"/>
                <w:sz w:val="14"/>
              </w:rPr>
              <w:t>2</w:t>
            </w:r>
          </w:p>
        </w:tc>
        <w:tc>
          <w:tcPr>
            <w:tcW w:w="800" w:type="pct"/>
            <w:shd w:val="clear" w:color="auto" w:fill="BCDFFB"/>
            <w:vAlign w:val="center"/>
          </w:tcPr>
          <w:p w14:paraId="27CDCD8C" w14:textId="77777777" w:rsidR="0087775A" w:rsidRDefault="00BB042B">
            <w:pPr>
              <w:spacing w:after="0" w:line="240" w:lineRule="auto"/>
              <w:jc w:val="center"/>
            </w:pPr>
            <w:r>
              <w:rPr>
                <w:rFonts w:ascii="Times New Roman" w:hAnsi="Times New Roman" w:cs="Times New Roman"/>
                <w:sz w:val="14"/>
              </w:rPr>
              <w:t>3</w:t>
            </w:r>
          </w:p>
        </w:tc>
        <w:tc>
          <w:tcPr>
            <w:tcW w:w="800" w:type="pct"/>
            <w:shd w:val="clear" w:color="auto" w:fill="BCDFFB"/>
            <w:vAlign w:val="center"/>
          </w:tcPr>
          <w:p w14:paraId="1D533187" w14:textId="77777777" w:rsidR="0087775A" w:rsidRDefault="00BB042B">
            <w:pPr>
              <w:spacing w:after="0" w:line="240" w:lineRule="auto"/>
              <w:jc w:val="center"/>
            </w:pPr>
            <w:r>
              <w:rPr>
                <w:rFonts w:ascii="Times New Roman" w:hAnsi="Times New Roman" w:cs="Times New Roman"/>
                <w:sz w:val="14"/>
              </w:rPr>
              <w:t>4</w:t>
            </w:r>
          </w:p>
        </w:tc>
        <w:tc>
          <w:tcPr>
            <w:tcW w:w="500" w:type="pct"/>
            <w:shd w:val="clear" w:color="auto" w:fill="BCDFFB"/>
            <w:vAlign w:val="center"/>
          </w:tcPr>
          <w:p w14:paraId="1B9FCE54" w14:textId="77777777" w:rsidR="0087775A" w:rsidRDefault="00BB042B">
            <w:pPr>
              <w:spacing w:after="0" w:line="240" w:lineRule="auto"/>
              <w:jc w:val="center"/>
            </w:pPr>
            <w:r>
              <w:rPr>
                <w:rFonts w:ascii="Times New Roman" w:hAnsi="Times New Roman" w:cs="Times New Roman"/>
                <w:sz w:val="14"/>
              </w:rPr>
              <w:t>5=4/2</w:t>
            </w:r>
          </w:p>
        </w:tc>
        <w:tc>
          <w:tcPr>
            <w:tcW w:w="500" w:type="pct"/>
            <w:shd w:val="clear" w:color="auto" w:fill="BCDFFB"/>
            <w:vAlign w:val="center"/>
          </w:tcPr>
          <w:p w14:paraId="5CBB2E87" w14:textId="77777777" w:rsidR="0087775A" w:rsidRDefault="00BB042B">
            <w:pPr>
              <w:spacing w:after="0" w:line="240" w:lineRule="auto"/>
              <w:jc w:val="center"/>
            </w:pPr>
            <w:r>
              <w:rPr>
                <w:rFonts w:ascii="Times New Roman" w:hAnsi="Times New Roman" w:cs="Times New Roman"/>
                <w:sz w:val="14"/>
              </w:rPr>
              <w:t>6=4/3</w:t>
            </w:r>
          </w:p>
        </w:tc>
      </w:tr>
      <w:tr w:rsidR="0087775A" w14:paraId="7A6C57F1" w14:textId="77777777">
        <w:tc>
          <w:tcPr>
            <w:tcW w:w="1400" w:type="pct"/>
            <w:vAlign w:val="center"/>
          </w:tcPr>
          <w:p w14:paraId="313D7018" w14:textId="77777777" w:rsidR="0087775A" w:rsidRDefault="00BB042B">
            <w:pPr>
              <w:spacing w:after="0" w:line="240" w:lineRule="auto"/>
            </w:pPr>
            <w:r>
              <w:rPr>
                <w:rFonts w:ascii="Times New Roman" w:hAnsi="Times New Roman" w:cs="Times New Roman"/>
                <w:sz w:val="18"/>
              </w:rPr>
              <w:t>3 RASHODI POSLOVANJA</w:t>
            </w:r>
          </w:p>
        </w:tc>
        <w:tc>
          <w:tcPr>
            <w:tcW w:w="800" w:type="pct"/>
            <w:vAlign w:val="bottom"/>
          </w:tcPr>
          <w:p w14:paraId="1D0212E6" w14:textId="77777777" w:rsidR="0087775A" w:rsidRDefault="00BB042B">
            <w:pPr>
              <w:spacing w:after="0" w:line="240" w:lineRule="auto"/>
              <w:jc w:val="right"/>
            </w:pPr>
            <w:r>
              <w:rPr>
                <w:rFonts w:ascii="Times New Roman" w:hAnsi="Times New Roman" w:cs="Times New Roman"/>
                <w:sz w:val="18"/>
              </w:rPr>
              <w:t>145.353.308</w:t>
            </w:r>
          </w:p>
        </w:tc>
        <w:tc>
          <w:tcPr>
            <w:tcW w:w="800" w:type="pct"/>
            <w:vAlign w:val="bottom"/>
          </w:tcPr>
          <w:p w14:paraId="739BD4A6" w14:textId="77777777" w:rsidR="0087775A" w:rsidRDefault="00BB042B">
            <w:pPr>
              <w:spacing w:after="0" w:line="240" w:lineRule="auto"/>
              <w:jc w:val="right"/>
            </w:pPr>
            <w:r>
              <w:rPr>
                <w:rFonts w:ascii="Times New Roman" w:hAnsi="Times New Roman" w:cs="Times New Roman"/>
                <w:sz w:val="18"/>
              </w:rPr>
              <w:t>399.558.443</w:t>
            </w:r>
          </w:p>
        </w:tc>
        <w:tc>
          <w:tcPr>
            <w:tcW w:w="800" w:type="pct"/>
            <w:vAlign w:val="bottom"/>
          </w:tcPr>
          <w:p w14:paraId="3C39CF01" w14:textId="77777777" w:rsidR="0087775A" w:rsidRDefault="00584547">
            <w:pPr>
              <w:spacing w:after="0" w:line="240" w:lineRule="auto"/>
              <w:jc w:val="right"/>
            </w:pPr>
            <w:r>
              <w:rPr>
                <w:rFonts w:ascii="Times New Roman" w:hAnsi="Times New Roman" w:cs="Times New Roman"/>
                <w:sz w:val="18"/>
              </w:rPr>
              <w:t>125.635.031</w:t>
            </w:r>
          </w:p>
        </w:tc>
        <w:tc>
          <w:tcPr>
            <w:tcW w:w="500" w:type="pct"/>
            <w:vAlign w:val="bottom"/>
          </w:tcPr>
          <w:p w14:paraId="10C72605" w14:textId="77777777" w:rsidR="0087775A" w:rsidRPr="00BD3B2C" w:rsidRDefault="00BD3B2C">
            <w:pPr>
              <w:spacing w:after="0" w:line="240" w:lineRule="auto"/>
              <w:jc w:val="right"/>
              <w:rPr>
                <w:rFonts w:ascii="Times New Roman" w:hAnsi="Times New Roman" w:cs="Times New Roman"/>
                <w:sz w:val="18"/>
              </w:rPr>
            </w:pPr>
            <w:r w:rsidRPr="00BD3B2C">
              <w:rPr>
                <w:rFonts w:ascii="Times New Roman" w:hAnsi="Times New Roman" w:cs="Times New Roman"/>
                <w:sz w:val="18"/>
              </w:rPr>
              <w:t>86,4</w:t>
            </w:r>
          </w:p>
        </w:tc>
        <w:tc>
          <w:tcPr>
            <w:tcW w:w="500" w:type="pct"/>
            <w:vAlign w:val="bottom"/>
          </w:tcPr>
          <w:p w14:paraId="430A3A53" w14:textId="77777777" w:rsidR="0087775A" w:rsidRPr="00BD3B2C" w:rsidRDefault="00BD3B2C">
            <w:pPr>
              <w:spacing w:after="0" w:line="240" w:lineRule="auto"/>
              <w:jc w:val="right"/>
              <w:rPr>
                <w:rFonts w:ascii="Times New Roman" w:hAnsi="Times New Roman" w:cs="Times New Roman"/>
                <w:sz w:val="18"/>
              </w:rPr>
            </w:pPr>
            <w:r w:rsidRPr="00BD3B2C">
              <w:rPr>
                <w:rFonts w:ascii="Times New Roman" w:hAnsi="Times New Roman" w:cs="Times New Roman"/>
                <w:sz w:val="18"/>
              </w:rPr>
              <w:t>31,4</w:t>
            </w:r>
          </w:p>
        </w:tc>
      </w:tr>
      <w:tr w:rsidR="0087775A" w14:paraId="2CE8A165" w14:textId="77777777">
        <w:tc>
          <w:tcPr>
            <w:tcW w:w="1400" w:type="pct"/>
            <w:vAlign w:val="bottom"/>
          </w:tcPr>
          <w:p w14:paraId="2976B7EE" w14:textId="77777777" w:rsidR="0087775A" w:rsidRDefault="00BB042B">
            <w:pPr>
              <w:spacing w:after="0" w:line="240" w:lineRule="auto"/>
            </w:pPr>
            <w:r>
              <w:rPr>
                <w:rFonts w:ascii="Times New Roman" w:hAnsi="Times New Roman" w:cs="Times New Roman"/>
                <w:sz w:val="18"/>
              </w:rPr>
              <w:t>4 RASHODI ZA NABAVU NEFINANCIJSKE IMOVINE</w:t>
            </w:r>
          </w:p>
        </w:tc>
        <w:tc>
          <w:tcPr>
            <w:tcW w:w="800" w:type="pct"/>
            <w:vAlign w:val="bottom"/>
          </w:tcPr>
          <w:p w14:paraId="4A7AF735" w14:textId="77777777" w:rsidR="0087775A" w:rsidRDefault="00BB042B">
            <w:pPr>
              <w:spacing w:after="0" w:line="240" w:lineRule="auto"/>
              <w:jc w:val="right"/>
            </w:pPr>
            <w:r>
              <w:rPr>
                <w:rFonts w:ascii="Times New Roman" w:hAnsi="Times New Roman" w:cs="Times New Roman"/>
                <w:sz w:val="18"/>
              </w:rPr>
              <w:t>345.206</w:t>
            </w:r>
          </w:p>
        </w:tc>
        <w:tc>
          <w:tcPr>
            <w:tcW w:w="800" w:type="pct"/>
            <w:vAlign w:val="bottom"/>
          </w:tcPr>
          <w:p w14:paraId="6A6A8C9C" w14:textId="77777777" w:rsidR="0087775A" w:rsidRDefault="00BB042B">
            <w:pPr>
              <w:spacing w:after="0" w:line="240" w:lineRule="auto"/>
              <w:jc w:val="right"/>
            </w:pPr>
            <w:r>
              <w:rPr>
                <w:rFonts w:ascii="Times New Roman" w:hAnsi="Times New Roman" w:cs="Times New Roman"/>
                <w:sz w:val="18"/>
              </w:rPr>
              <w:t>1.609.925</w:t>
            </w:r>
          </w:p>
        </w:tc>
        <w:tc>
          <w:tcPr>
            <w:tcW w:w="800" w:type="pct"/>
            <w:vAlign w:val="bottom"/>
          </w:tcPr>
          <w:p w14:paraId="14A12D24" w14:textId="77777777" w:rsidR="0087775A" w:rsidRDefault="00584547">
            <w:pPr>
              <w:spacing w:after="0" w:line="240" w:lineRule="auto"/>
              <w:jc w:val="right"/>
            </w:pPr>
            <w:r>
              <w:rPr>
                <w:rFonts w:ascii="Times New Roman" w:hAnsi="Times New Roman" w:cs="Times New Roman"/>
                <w:sz w:val="18"/>
              </w:rPr>
              <w:t>500.121</w:t>
            </w:r>
          </w:p>
        </w:tc>
        <w:tc>
          <w:tcPr>
            <w:tcW w:w="500" w:type="pct"/>
            <w:vAlign w:val="bottom"/>
          </w:tcPr>
          <w:p w14:paraId="064D8A36" w14:textId="77777777" w:rsidR="0087775A" w:rsidRPr="00BD3B2C" w:rsidRDefault="00BD3B2C">
            <w:pPr>
              <w:spacing w:after="0" w:line="240" w:lineRule="auto"/>
              <w:jc w:val="right"/>
              <w:rPr>
                <w:rFonts w:ascii="Times New Roman" w:hAnsi="Times New Roman" w:cs="Times New Roman"/>
                <w:sz w:val="18"/>
              </w:rPr>
            </w:pPr>
            <w:r w:rsidRPr="00BD3B2C">
              <w:rPr>
                <w:rFonts w:ascii="Times New Roman" w:hAnsi="Times New Roman" w:cs="Times New Roman"/>
                <w:sz w:val="18"/>
              </w:rPr>
              <w:t>144,9</w:t>
            </w:r>
          </w:p>
        </w:tc>
        <w:tc>
          <w:tcPr>
            <w:tcW w:w="500" w:type="pct"/>
            <w:vAlign w:val="bottom"/>
          </w:tcPr>
          <w:p w14:paraId="67BBDBB5" w14:textId="77777777" w:rsidR="0087775A" w:rsidRPr="00BD3B2C" w:rsidRDefault="00BD3B2C">
            <w:pPr>
              <w:spacing w:after="0" w:line="240" w:lineRule="auto"/>
              <w:jc w:val="right"/>
              <w:rPr>
                <w:rFonts w:ascii="Times New Roman" w:hAnsi="Times New Roman" w:cs="Times New Roman"/>
                <w:sz w:val="18"/>
              </w:rPr>
            </w:pPr>
            <w:r w:rsidRPr="00BD3B2C">
              <w:rPr>
                <w:rFonts w:ascii="Times New Roman" w:hAnsi="Times New Roman" w:cs="Times New Roman"/>
                <w:sz w:val="18"/>
              </w:rPr>
              <w:t>31,1</w:t>
            </w:r>
          </w:p>
        </w:tc>
      </w:tr>
      <w:tr w:rsidR="0087775A" w14:paraId="7C6EDF6B" w14:textId="77777777">
        <w:tc>
          <w:tcPr>
            <w:tcW w:w="1400" w:type="pct"/>
            <w:vAlign w:val="bottom"/>
          </w:tcPr>
          <w:p w14:paraId="73847615" w14:textId="77777777" w:rsidR="0087775A" w:rsidRDefault="00BB042B">
            <w:pPr>
              <w:spacing w:after="0" w:line="240" w:lineRule="auto"/>
            </w:pPr>
            <w:r>
              <w:rPr>
                <w:rFonts w:ascii="Times New Roman" w:hAnsi="Times New Roman" w:cs="Times New Roman"/>
                <w:b/>
                <w:sz w:val="18"/>
              </w:rPr>
              <w:t>UKUPNI RASHODI</w:t>
            </w:r>
          </w:p>
        </w:tc>
        <w:tc>
          <w:tcPr>
            <w:tcW w:w="800" w:type="pct"/>
            <w:vAlign w:val="bottom"/>
          </w:tcPr>
          <w:p w14:paraId="3BB2EE07" w14:textId="77777777" w:rsidR="0087775A" w:rsidRDefault="00BB042B">
            <w:pPr>
              <w:spacing w:after="0" w:line="240" w:lineRule="auto"/>
              <w:jc w:val="right"/>
            </w:pPr>
            <w:r>
              <w:rPr>
                <w:rFonts w:ascii="Times New Roman" w:hAnsi="Times New Roman" w:cs="Times New Roman"/>
                <w:b/>
                <w:sz w:val="18"/>
              </w:rPr>
              <w:t>145.698.513</w:t>
            </w:r>
          </w:p>
        </w:tc>
        <w:tc>
          <w:tcPr>
            <w:tcW w:w="800" w:type="pct"/>
            <w:vAlign w:val="bottom"/>
          </w:tcPr>
          <w:p w14:paraId="5A6259AF" w14:textId="77777777" w:rsidR="0087775A" w:rsidRDefault="00BB042B">
            <w:pPr>
              <w:spacing w:after="0" w:line="240" w:lineRule="auto"/>
              <w:jc w:val="right"/>
            </w:pPr>
            <w:r>
              <w:rPr>
                <w:rFonts w:ascii="Times New Roman" w:hAnsi="Times New Roman" w:cs="Times New Roman"/>
                <w:b/>
                <w:sz w:val="18"/>
              </w:rPr>
              <w:t>401.168.368</w:t>
            </w:r>
          </w:p>
        </w:tc>
        <w:tc>
          <w:tcPr>
            <w:tcW w:w="800" w:type="pct"/>
            <w:vAlign w:val="bottom"/>
          </w:tcPr>
          <w:p w14:paraId="0A1771EF" w14:textId="77777777" w:rsidR="0087775A" w:rsidRDefault="00584547">
            <w:pPr>
              <w:spacing w:after="0" w:line="240" w:lineRule="auto"/>
              <w:jc w:val="right"/>
            </w:pPr>
            <w:r>
              <w:rPr>
                <w:rFonts w:ascii="Times New Roman" w:hAnsi="Times New Roman" w:cs="Times New Roman"/>
                <w:b/>
                <w:sz w:val="18"/>
              </w:rPr>
              <w:t>126.135.152</w:t>
            </w:r>
          </w:p>
        </w:tc>
        <w:tc>
          <w:tcPr>
            <w:tcW w:w="500" w:type="pct"/>
            <w:vAlign w:val="bottom"/>
          </w:tcPr>
          <w:p w14:paraId="407A8BC1" w14:textId="77777777" w:rsidR="0087775A" w:rsidRPr="00BD3B2C" w:rsidRDefault="00BD3B2C">
            <w:pPr>
              <w:spacing w:after="0" w:line="240" w:lineRule="auto"/>
              <w:jc w:val="right"/>
              <w:rPr>
                <w:rFonts w:ascii="Times New Roman" w:hAnsi="Times New Roman" w:cs="Times New Roman"/>
                <w:sz w:val="18"/>
              </w:rPr>
            </w:pPr>
            <w:r w:rsidRPr="00BD3B2C">
              <w:rPr>
                <w:rFonts w:ascii="Times New Roman" w:hAnsi="Times New Roman" w:cs="Times New Roman"/>
                <w:sz w:val="18"/>
              </w:rPr>
              <w:t>86,6</w:t>
            </w:r>
          </w:p>
        </w:tc>
        <w:tc>
          <w:tcPr>
            <w:tcW w:w="500" w:type="pct"/>
            <w:vAlign w:val="bottom"/>
          </w:tcPr>
          <w:p w14:paraId="38505237" w14:textId="77777777" w:rsidR="0087775A" w:rsidRPr="00BD3B2C" w:rsidRDefault="00BD3B2C">
            <w:pPr>
              <w:spacing w:after="0" w:line="240" w:lineRule="auto"/>
              <w:jc w:val="right"/>
              <w:rPr>
                <w:rFonts w:ascii="Times New Roman" w:hAnsi="Times New Roman" w:cs="Times New Roman"/>
                <w:sz w:val="18"/>
              </w:rPr>
            </w:pPr>
            <w:r w:rsidRPr="00BD3B2C">
              <w:rPr>
                <w:rFonts w:ascii="Times New Roman" w:hAnsi="Times New Roman" w:cs="Times New Roman"/>
                <w:sz w:val="18"/>
              </w:rPr>
              <w:t>31,4</w:t>
            </w:r>
          </w:p>
        </w:tc>
      </w:tr>
    </w:tbl>
    <w:p w14:paraId="447E0B19" w14:textId="77777777" w:rsidR="0087775A" w:rsidRDefault="0087775A">
      <w:pPr>
        <w:spacing w:after="0" w:line="240" w:lineRule="auto"/>
      </w:pPr>
    </w:p>
    <w:p w14:paraId="327CA868" w14:textId="77777777" w:rsidR="00980B18" w:rsidRPr="003F16D6"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DC0360">
        <w:rPr>
          <w:rFonts w:ascii="Times New Roman" w:eastAsia="Times New Roman" w:hAnsi="Times New Roman" w:cs="Times New Roman"/>
          <w:iCs/>
          <w:sz w:val="24"/>
          <w:szCs w:val="24"/>
        </w:rPr>
        <w:t>R</w:t>
      </w:r>
      <w:r w:rsidRPr="003F16D6">
        <w:rPr>
          <w:rFonts w:ascii="Times New Roman" w:eastAsia="Times New Roman" w:hAnsi="Times New Roman" w:cs="Times New Roman"/>
          <w:iCs/>
          <w:sz w:val="24"/>
          <w:szCs w:val="24"/>
        </w:rPr>
        <w:t>ashodi Fonda u razdoblju I.-VI. 2023. godine ostvareni u iznosu od 126.135.151,85 EUR ili 31,44% godišnjeg plana.</w:t>
      </w:r>
    </w:p>
    <w:p w14:paraId="73556DF4" w14:textId="77777777" w:rsidR="00980B18" w:rsidRPr="00DC0360" w:rsidRDefault="00980B18" w:rsidP="00A02F90">
      <w:pPr>
        <w:tabs>
          <w:tab w:val="left" w:pos="567"/>
        </w:tabs>
        <w:spacing w:after="0" w:line="240" w:lineRule="auto"/>
        <w:jc w:val="both"/>
        <w:rPr>
          <w:rFonts w:ascii="Times New Roman" w:eastAsia="Times New Roman" w:hAnsi="Times New Roman" w:cs="Times New Roman"/>
          <w:iCs/>
          <w:sz w:val="24"/>
          <w:szCs w:val="24"/>
        </w:rPr>
      </w:pPr>
    </w:p>
    <w:p w14:paraId="2F68111E" w14:textId="5D4B7B0C" w:rsidR="00980B18" w:rsidRPr="003F16D6"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3F16D6">
        <w:rPr>
          <w:rFonts w:ascii="Times New Roman" w:eastAsia="Times New Roman" w:hAnsi="Times New Roman" w:cs="Times New Roman"/>
          <w:iCs/>
          <w:sz w:val="24"/>
          <w:szCs w:val="24"/>
        </w:rPr>
        <w:t xml:space="preserve">Rashodi poslovanja smanjili su se </w:t>
      </w:r>
      <w:r w:rsidRPr="00FC7BB8">
        <w:rPr>
          <w:rFonts w:ascii="Times New Roman" w:eastAsia="Times New Roman" w:hAnsi="Times New Roman" w:cs="Times New Roman"/>
          <w:iCs/>
          <w:sz w:val="24"/>
          <w:szCs w:val="24"/>
        </w:rPr>
        <w:t>za 19.718.276,2</w:t>
      </w:r>
      <w:r w:rsidR="002F0980" w:rsidRPr="00FC7BB8">
        <w:rPr>
          <w:rFonts w:ascii="Times New Roman" w:eastAsia="Times New Roman" w:hAnsi="Times New Roman" w:cs="Times New Roman"/>
          <w:iCs/>
          <w:sz w:val="24"/>
          <w:szCs w:val="24"/>
        </w:rPr>
        <w:t>7</w:t>
      </w:r>
      <w:r w:rsidRPr="00FC7BB8">
        <w:rPr>
          <w:rFonts w:ascii="Times New Roman" w:eastAsia="Times New Roman" w:hAnsi="Times New Roman" w:cs="Times New Roman"/>
          <w:iCs/>
          <w:sz w:val="24"/>
          <w:szCs w:val="24"/>
        </w:rPr>
        <w:t xml:space="preserve"> EUR ili</w:t>
      </w:r>
      <w:r w:rsidRPr="003F16D6">
        <w:rPr>
          <w:rFonts w:ascii="Times New Roman" w:eastAsia="Times New Roman" w:hAnsi="Times New Roman" w:cs="Times New Roman"/>
          <w:iCs/>
          <w:sz w:val="24"/>
          <w:szCs w:val="24"/>
        </w:rPr>
        <w:t xml:space="preserve"> 13,</w:t>
      </w:r>
      <w:r>
        <w:rPr>
          <w:rFonts w:ascii="Times New Roman" w:eastAsia="Times New Roman" w:hAnsi="Times New Roman" w:cs="Times New Roman"/>
          <w:iCs/>
          <w:sz w:val="24"/>
          <w:szCs w:val="24"/>
        </w:rPr>
        <w:t>57</w:t>
      </w:r>
      <w:r w:rsidRPr="003F16D6">
        <w:rPr>
          <w:rFonts w:ascii="Times New Roman" w:eastAsia="Times New Roman" w:hAnsi="Times New Roman" w:cs="Times New Roman"/>
          <w:iCs/>
          <w:sz w:val="24"/>
          <w:szCs w:val="24"/>
        </w:rPr>
        <w:t>% u odnosu na isto izvještajno razdoblje 2022. godine najvećim djelom zbog provedbe Zaključka Vlade Republike Hrvatske, KLASA: 022-03/22-07/81, URBROJ: 50301-05/27-22-1 od 9. ožujka 2022. godine</w:t>
      </w:r>
      <w:r w:rsidRPr="003F16D6">
        <w:rPr>
          <w:rFonts w:ascii="Times New Roman" w:eastAsia="Times New Roman" w:hAnsi="Times New Roman" w:cs="Times New Roman"/>
          <w:b/>
          <w:bCs/>
          <w:sz w:val="24"/>
          <w:szCs w:val="24"/>
        </w:rPr>
        <w:t xml:space="preserve"> </w:t>
      </w:r>
      <w:r w:rsidRPr="003F16D6">
        <w:rPr>
          <w:rFonts w:ascii="Times New Roman" w:eastAsia="Times New Roman" w:hAnsi="Times New Roman" w:cs="Times New Roman"/>
          <w:iCs/>
          <w:sz w:val="24"/>
          <w:szCs w:val="24"/>
        </w:rPr>
        <w:t>u cilju ublažavanja porasta cijene plina i sprečavanja izloženosti građana energetskom siromaštvu temeljem kojeg je u prvom polugodištu 2023. godine isplaćeno 41,57% manje sredstava nego u prvom polugodištu 2022. godine obzirom da je tijekom 2022. godine isplaćen veći dio sredstava po spomenutom Zaključku.</w:t>
      </w:r>
    </w:p>
    <w:p w14:paraId="46657FE5" w14:textId="77777777" w:rsidR="00980B18" w:rsidRPr="003F16D6" w:rsidRDefault="00980B18" w:rsidP="00A02F90">
      <w:pPr>
        <w:tabs>
          <w:tab w:val="left" w:pos="567"/>
        </w:tabs>
        <w:spacing w:after="0" w:line="240" w:lineRule="auto"/>
        <w:jc w:val="both"/>
        <w:rPr>
          <w:rFonts w:ascii="Times New Roman" w:eastAsia="Times New Roman" w:hAnsi="Times New Roman" w:cs="Times New Roman"/>
          <w:iCs/>
          <w:sz w:val="24"/>
          <w:szCs w:val="24"/>
        </w:rPr>
      </w:pPr>
    </w:p>
    <w:p w14:paraId="3EE83F6B" w14:textId="77777777" w:rsidR="00980B18" w:rsidRPr="003F16D6"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3F16D6">
        <w:rPr>
          <w:rFonts w:ascii="Times New Roman" w:eastAsia="Times New Roman" w:hAnsi="Times New Roman" w:cs="Times New Roman"/>
          <w:iCs/>
          <w:sz w:val="24"/>
          <w:szCs w:val="24"/>
        </w:rPr>
        <w:t>Rashodi za nabavu nefinancijske imovine veći su za 154.914,93 EUR ili 44,88% u odnosu na isto razdoblje 2022. godine u najvećoj mjeri zbog prilagodbe informacijskog sustava za euro konverziju.</w:t>
      </w:r>
    </w:p>
    <w:p w14:paraId="6ED5D3CB" w14:textId="77777777" w:rsidR="00980B18" w:rsidRPr="003F16D6" w:rsidRDefault="00980B18" w:rsidP="00A02F90">
      <w:pPr>
        <w:tabs>
          <w:tab w:val="left" w:pos="567"/>
        </w:tabs>
        <w:spacing w:after="0" w:line="240" w:lineRule="auto"/>
        <w:jc w:val="both"/>
        <w:rPr>
          <w:rFonts w:ascii="Times New Roman" w:eastAsia="Times New Roman" w:hAnsi="Times New Roman" w:cs="Times New Roman"/>
          <w:iCs/>
          <w:sz w:val="24"/>
          <w:szCs w:val="24"/>
        </w:rPr>
      </w:pPr>
    </w:p>
    <w:p w14:paraId="1C2B107A" w14:textId="5BA19140" w:rsidR="00980B18" w:rsidRPr="003F16D6"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3F16D6">
        <w:rPr>
          <w:rFonts w:ascii="Times New Roman" w:eastAsia="Times New Roman" w:hAnsi="Times New Roman" w:cs="Times New Roman"/>
          <w:iCs/>
          <w:sz w:val="24"/>
          <w:szCs w:val="24"/>
        </w:rPr>
        <w:t>Unatoč povećanju</w:t>
      </w:r>
      <w:r>
        <w:rPr>
          <w:rFonts w:ascii="Times New Roman" w:eastAsia="Times New Roman" w:hAnsi="Times New Roman" w:cs="Times New Roman"/>
          <w:iCs/>
          <w:sz w:val="24"/>
          <w:szCs w:val="24"/>
        </w:rPr>
        <w:t xml:space="preserve"> </w:t>
      </w:r>
      <w:r w:rsidRPr="003F16D6">
        <w:rPr>
          <w:rFonts w:ascii="Times New Roman" w:eastAsia="Times New Roman" w:hAnsi="Times New Roman" w:cs="Times New Roman"/>
          <w:iCs/>
          <w:sz w:val="24"/>
          <w:szCs w:val="24"/>
        </w:rPr>
        <w:t xml:space="preserve">rashoda za nabavu nefinancijske imovine, ukupni rashodi manji su za </w:t>
      </w:r>
      <w:r w:rsidRPr="00FC7BB8">
        <w:rPr>
          <w:rFonts w:ascii="Times New Roman" w:eastAsia="Times New Roman" w:hAnsi="Times New Roman" w:cs="Times New Roman"/>
          <w:iCs/>
          <w:sz w:val="24"/>
          <w:szCs w:val="24"/>
        </w:rPr>
        <w:t>19.563.361,3</w:t>
      </w:r>
      <w:r w:rsidR="002F0980" w:rsidRPr="00FC7BB8">
        <w:rPr>
          <w:rFonts w:ascii="Times New Roman" w:eastAsia="Times New Roman" w:hAnsi="Times New Roman" w:cs="Times New Roman"/>
          <w:iCs/>
          <w:sz w:val="24"/>
          <w:szCs w:val="24"/>
        </w:rPr>
        <w:t>4</w:t>
      </w:r>
      <w:r w:rsidRPr="00FC7BB8">
        <w:rPr>
          <w:rFonts w:ascii="Times New Roman" w:eastAsia="Times New Roman" w:hAnsi="Times New Roman" w:cs="Times New Roman"/>
          <w:iCs/>
          <w:sz w:val="24"/>
          <w:szCs w:val="24"/>
        </w:rPr>
        <w:t xml:space="preserve"> EUR</w:t>
      </w:r>
      <w:r w:rsidRPr="003F16D6">
        <w:rPr>
          <w:rFonts w:ascii="Times New Roman" w:eastAsia="Times New Roman" w:hAnsi="Times New Roman" w:cs="Times New Roman"/>
          <w:iCs/>
          <w:sz w:val="24"/>
          <w:szCs w:val="24"/>
        </w:rPr>
        <w:t xml:space="preserve"> odnosno 13,43% od rashoda istog perioda 2022. godine.</w:t>
      </w:r>
    </w:p>
    <w:p w14:paraId="3B23EA5E" w14:textId="77777777" w:rsidR="00980B18" w:rsidRPr="003F16D6" w:rsidRDefault="00980B18" w:rsidP="00A02F90">
      <w:pPr>
        <w:tabs>
          <w:tab w:val="left" w:pos="567"/>
        </w:tabs>
        <w:spacing w:after="0" w:line="240" w:lineRule="auto"/>
        <w:jc w:val="both"/>
        <w:rPr>
          <w:rFonts w:ascii="Times New Roman" w:eastAsia="Times New Roman" w:hAnsi="Times New Roman" w:cs="Times New Roman"/>
          <w:iCs/>
          <w:sz w:val="24"/>
          <w:szCs w:val="24"/>
        </w:rPr>
      </w:pPr>
    </w:p>
    <w:p w14:paraId="6BE2EE04" w14:textId="77777777" w:rsidR="00980B18" w:rsidRPr="003F16D6" w:rsidRDefault="00980B18" w:rsidP="00A02F90">
      <w:pPr>
        <w:tabs>
          <w:tab w:val="left" w:pos="567"/>
        </w:tabs>
        <w:spacing w:after="0" w:line="240" w:lineRule="auto"/>
        <w:jc w:val="both"/>
        <w:rPr>
          <w:rFonts w:ascii="Times New Roman" w:eastAsia="Times New Roman" w:hAnsi="Times New Roman" w:cs="Times New Roman"/>
          <w:iCs/>
          <w:sz w:val="24"/>
          <w:szCs w:val="24"/>
        </w:rPr>
      </w:pPr>
      <w:r w:rsidRPr="003F16D6">
        <w:rPr>
          <w:rFonts w:ascii="Times New Roman" w:eastAsia="Times New Roman" w:hAnsi="Times New Roman" w:cs="Times New Roman"/>
          <w:iCs/>
          <w:sz w:val="24"/>
          <w:szCs w:val="24"/>
        </w:rPr>
        <w:t>U strukturi ukupno izvršenih rashoda za I.-VI. 2023. godine veći je udjel rashoda poslovanja sa 99,60% dok na rashode za nabavu nefinancijske imovine otpada 0,40%.</w:t>
      </w:r>
    </w:p>
    <w:p w14:paraId="7BD1EF6F" w14:textId="30E4D5BA" w:rsidR="00980B18" w:rsidRDefault="00980B18">
      <w:pPr>
        <w:spacing w:line="360" w:lineRule="auto"/>
        <w:rPr>
          <w:rFonts w:ascii="Times New Roman" w:hAnsi="Times New Roman" w:cs="Times New Roman"/>
          <w:b/>
          <w:sz w:val="24"/>
          <w:u w:val="single"/>
        </w:rPr>
      </w:pPr>
    </w:p>
    <w:p w14:paraId="55E7FFCF" w14:textId="77777777" w:rsidR="000527B1" w:rsidRDefault="000527B1">
      <w:pPr>
        <w:spacing w:line="360" w:lineRule="auto"/>
        <w:rPr>
          <w:rFonts w:ascii="Times New Roman" w:hAnsi="Times New Roman" w:cs="Times New Roman"/>
          <w:b/>
          <w:sz w:val="24"/>
          <w:u w:val="single"/>
        </w:rPr>
      </w:pPr>
    </w:p>
    <w:p w14:paraId="3FDB6963" w14:textId="77777777" w:rsidR="0087775A" w:rsidRDefault="00BB042B">
      <w:pPr>
        <w:spacing w:line="360" w:lineRule="auto"/>
      </w:pPr>
      <w:r>
        <w:rPr>
          <w:rFonts w:ascii="Times New Roman" w:hAnsi="Times New Roman" w:cs="Times New Roman"/>
          <w:b/>
          <w:sz w:val="24"/>
          <w:u w:val="single"/>
        </w:rPr>
        <w:t>RAČUN FINANCIRANJA</w:t>
      </w:r>
    </w:p>
    <w:p w14:paraId="5F66E2BD" w14:textId="77777777" w:rsidR="0087775A" w:rsidRDefault="00BB042B">
      <w:pPr>
        <w:spacing w:line="360" w:lineRule="auto"/>
      </w:pPr>
      <w:r>
        <w:rPr>
          <w:rFonts w:ascii="Times New Roman" w:hAnsi="Times New Roman" w:cs="Times New Roman"/>
          <w:b/>
          <w:sz w:val="24"/>
          <w:u w:val="single"/>
        </w:rPr>
        <w:lastRenderedPageBreak/>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497"/>
        <w:gridCol w:w="1799"/>
        <w:gridCol w:w="1799"/>
        <w:gridCol w:w="899"/>
      </w:tblGrid>
      <w:tr w:rsidR="0087775A" w14:paraId="4026DC64" w14:textId="77777777">
        <w:tc>
          <w:tcPr>
            <w:tcW w:w="2500" w:type="pct"/>
            <w:shd w:val="clear" w:color="auto" w:fill="BCDFFB"/>
            <w:vAlign w:val="center"/>
          </w:tcPr>
          <w:p w14:paraId="09155C75" w14:textId="77777777" w:rsidR="0087775A" w:rsidRDefault="00BB042B">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14:paraId="1388A848" w14:textId="77777777" w:rsidR="0087775A" w:rsidRDefault="00FF0B55">
            <w:pPr>
              <w:spacing w:after="0" w:line="240" w:lineRule="auto"/>
              <w:jc w:val="center"/>
            </w:pPr>
            <w:r>
              <w:rPr>
                <w:rFonts w:ascii="Times New Roman" w:hAnsi="Times New Roman" w:cs="Times New Roman"/>
                <w:b/>
                <w:sz w:val="18"/>
              </w:rPr>
              <w:t>REBALANS</w:t>
            </w:r>
            <w:r w:rsidR="00BB042B">
              <w:rPr>
                <w:rFonts w:ascii="Times New Roman" w:hAnsi="Times New Roman" w:cs="Times New Roman"/>
                <w:b/>
                <w:sz w:val="18"/>
              </w:rPr>
              <w:br/>
              <w:t>2023.</w:t>
            </w:r>
          </w:p>
        </w:tc>
        <w:tc>
          <w:tcPr>
            <w:tcW w:w="1000" w:type="pct"/>
            <w:shd w:val="clear" w:color="auto" w:fill="BCDFFB"/>
            <w:vAlign w:val="center"/>
          </w:tcPr>
          <w:p w14:paraId="7CAC9956" w14:textId="77777777" w:rsidR="0087775A" w:rsidRDefault="00BB042B">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2023.</w:t>
            </w:r>
          </w:p>
        </w:tc>
        <w:tc>
          <w:tcPr>
            <w:tcW w:w="800" w:type="pct"/>
            <w:shd w:val="clear" w:color="auto" w:fill="BCDFFB"/>
            <w:vAlign w:val="center"/>
          </w:tcPr>
          <w:p w14:paraId="04836784" w14:textId="77777777" w:rsidR="0087775A" w:rsidRDefault="00BB042B">
            <w:pPr>
              <w:spacing w:after="0" w:line="240" w:lineRule="auto"/>
              <w:jc w:val="center"/>
            </w:pPr>
            <w:r>
              <w:rPr>
                <w:rFonts w:ascii="Times New Roman" w:hAnsi="Times New Roman" w:cs="Times New Roman"/>
                <w:b/>
                <w:sz w:val="18"/>
              </w:rPr>
              <w:t>INDEKS</w:t>
            </w:r>
          </w:p>
        </w:tc>
      </w:tr>
      <w:tr w:rsidR="0087775A" w14:paraId="79D50B60" w14:textId="77777777">
        <w:tc>
          <w:tcPr>
            <w:tcW w:w="2500" w:type="pct"/>
            <w:shd w:val="clear" w:color="auto" w:fill="BCDFFB"/>
            <w:vAlign w:val="center"/>
          </w:tcPr>
          <w:p w14:paraId="2DE1ACF7" w14:textId="77777777" w:rsidR="0087775A" w:rsidRDefault="00BB042B">
            <w:pPr>
              <w:spacing w:after="0" w:line="240" w:lineRule="auto"/>
              <w:jc w:val="center"/>
            </w:pPr>
            <w:r>
              <w:rPr>
                <w:rFonts w:ascii="Times New Roman" w:hAnsi="Times New Roman" w:cs="Times New Roman"/>
                <w:sz w:val="14"/>
              </w:rPr>
              <w:t>1</w:t>
            </w:r>
          </w:p>
        </w:tc>
        <w:tc>
          <w:tcPr>
            <w:tcW w:w="1000" w:type="pct"/>
            <w:shd w:val="clear" w:color="auto" w:fill="BCDFFB"/>
            <w:vAlign w:val="center"/>
          </w:tcPr>
          <w:p w14:paraId="45B541E4" w14:textId="77777777" w:rsidR="0087775A" w:rsidRDefault="00BB042B">
            <w:pPr>
              <w:spacing w:after="0" w:line="240" w:lineRule="auto"/>
              <w:jc w:val="center"/>
            </w:pPr>
            <w:r>
              <w:rPr>
                <w:rFonts w:ascii="Times New Roman" w:hAnsi="Times New Roman" w:cs="Times New Roman"/>
                <w:sz w:val="14"/>
              </w:rPr>
              <w:t>2</w:t>
            </w:r>
          </w:p>
        </w:tc>
        <w:tc>
          <w:tcPr>
            <w:tcW w:w="1000" w:type="pct"/>
            <w:shd w:val="clear" w:color="auto" w:fill="BCDFFB"/>
            <w:vAlign w:val="center"/>
          </w:tcPr>
          <w:p w14:paraId="55ADB094" w14:textId="77777777" w:rsidR="0087775A" w:rsidRDefault="00BB042B">
            <w:pPr>
              <w:spacing w:after="0" w:line="240" w:lineRule="auto"/>
              <w:jc w:val="center"/>
            </w:pPr>
            <w:r>
              <w:rPr>
                <w:rFonts w:ascii="Times New Roman" w:hAnsi="Times New Roman" w:cs="Times New Roman"/>
                <w:sz w:val="14"/>
              </w:rPr>
              <w:t>3</w:t>
            </w:r>
          </w:p>
        </w:tc>
        <w:tc>
          <w:tcPr>
            <w:tcW w:w="800" w:type="pct"/>
            <w:shd w:val="clear" w:color="auto" w:fill="BCDFFB"/>
            <w:vAlign w:val="center"/>
          </w:tcPr>
          <w:p w14:paraId="035BF510" w14:textId="77777777" w:rsidR="0087775A" w:rsidRDefault="00BB042B">
            <w:pPr>
              <w:spacing w:after="0" w:line="240" w:lineRule="auto"/>
              <w:jc w:val="center"/>
            </w:pPr>
            <w:r>
              <w:rPr>
                <w:rFonts w:ascii="Times New Roman" w:hAnsi="Times New Roman" w:cs="Times New Roman"/>
                <w:sz w:val="14"/>
              </w:rPr>
              <w:t>4=3/2</w:t>
            </w:r>
          </w:p>
        </w:tc>
      </w:tr>
      <w:tr w:rsidR="0087775A" w14:paraId="79545B39" w14:textId="77777777">
        <w:tc>
          <w:tcPr>
            <w:tcW w:w="2500" w:type="pct"/>
            <w:vAlign w:val="center"/>
          </w:tcPr>
          <w:p w14:paraId="7D225449" w14:textId="77777777" w:rsidR="0087775A" w:rsidRDefault="00BB042B">
            <w:pPr>
              <w:spacing w:after="0" w:line="240" w:lineRule="auto"/>
            </w:pPr>
            <w:r>
              <w:rPr>
                <w:rFonts w:ascii="Times New Roman" w:hAnsi="Times New Roman" w:cs="Times New Roman"/>
                <w:sz w:val="18"/>
              </w:rPr>
              <w:t>UKUPNI PRIHODI</w:t>
            </w:r>
          </w:p>
        </w:tc>
        <w:tc>
          <w:tcPr>
            <w:tcW w:w="1000" w:type="pct"/>
            <w:vAlign w:val="bottom"/>
          </w:tcPr>
          <w:p w14:paraId="290882CF" w14:textId="77777777" w:rsidR="0087775A" w:rsidRDefault="00BB042B">
            <w:pPr>
              <w:spacing w:after="0" w:line="240" w:lineRule="auto"/>
              <w:jc w:val="right"/>
            </w:pPr>
            <w:r>
              <w:rPr>
                <w:rFonts w:ascii="Times New Roman" w:hAnsi="Times New Roman" w:cs="Times New Roman"/>
                <w:sz w:val="18"/>
              </w:rPr>
              <w:t>413.608.609</w:t>
            </w:r>
          </w:p>
        </w:tc>
        <w:tc>
          <w:tcPr>
            <w:tcW w:w="1000" w:type="pct"/>
            <w:vAlign w:val="bottom"/>
          </w:tcPr>
          <w:p w14:paraId="468F16A4" w14:textId="77777777" w:rsidR="0087775A" w:rsidRDefault="00FF0B55">
            <w:pPr>
              <w:spacing w:after="0" w:line="240" w:lineRule="auto"/>
              <w:jc w:val="right"/>
            </w:pPr>
            <w:r>
              <w:rPr>
                <w:rFonts w:ascii="Times New Roman" w:hAnsi="Times New Roman" w:cs="Times New Roman"/>
                <w:sz w:val="18"/>
              </w:rPr>
              <w:t>185.050.448</w:t>
            </w:r>
          </w:p>
        </w:tc>
        <w:tc>
          <w:tcPr>
            <w:tcW w:w="800" w:type="pct"/>
            <w:vAlign w:val="bottom"/>
          </w:tcPr>
          <w:p w14:paraId="7A646A71" w14:textId="77777777" w:rsidR="0087775A" w:rsidRPr="00FF0B55" w:rsidRDefault="00FF0B55">
            <w:pPr>
              <w:spacing w:after="0" w:line="240" w:lineRule="auto"/>
              <w:jc w:val="right"/>
              <w:rPr>
                <w:rFonts w:ascii="Times New Roman" w:hAnsi="Times New Roman" w:cs="Times New Roman"/>
                <w:sz w:val="18"/>
              </w:rPr>
            </w:pPr>
            <w:r w:rsidRPr="00FF0B55">
              <w:rPr>
                <w:rFonts w:ascii="Times New Roman" w:hAnsi="Times New Roman" w:cs="Times New Roman"/>
                <w:sz w:val="18"/>
              </w:rPr>
              <w:t>44,7</w:t>
            </w:r>
          </w:p>
        </w:tc>
      </w:tr>
      <w:tr w:rsidR="0087775A" w14:paraId="135EDB43" w14:textId="77777777">
        <w:tc>
          <w:tcPr>
            <w:tcW w:w="2500" w:type="pct"/>
            <w:vAlign w:val="bottom"/>
          </w:tcPr>
          <w:p w14:paraId="343C8262" w14:textId="77777777" w:rsidR="0087775A" w:rsidRDefault="00BB042B">
            <w:pPr>
              <w:spacing w:after="0" w:line="240" w:lineRule="auto"/>
            </w:pPr>
            <w:r>
              <w:rPr>
                <w:rFonts w:ascii="Times New Roman" w:hAnsi="Times New Roman" w:cs="Times New Roman"/>
                <w:sz w:val="18"/>
              </w:rPr>
              <w:t>UKUPNI RASHODI</w:t>
            </w:r>
          </w:p>
        </w:tc>
        <w:tc>
          <w:tcPr>
            <w:tcW w:w="1000" w:type="pct"/>
            <w:vAlign w:val="bottom"/>
          </w:tcPr>
          <w:p w14:paraId="1062BA01" w14:textId="77777777" w:rsidR="0087775A" w:rsidRDefault="00BB042B">
            <w:pPr>
              <w:spacing w:after="0" w:line="240" w:lineRule="auto"/>
              <w:jc w:val="right"/>
            </w:pPr>
            <w:r>
              <w:rPr>
                <w:rFonts w:ascii="Times New Roman" w:hAnsi="Times New Roman" w:cs="Times New Roman"/>
                <w:sz w:val="18"/>
              </w:rPr>
              <w:t>401.168.368</w:t>
            </w:r>
          </w:p>
        </w:tc>
        <w:tc>
          <w:tcPr>
            <w:tcW w:w="1000" w:type="pct"/>
            <w:vAlign w:val="bottom"/>
          </w:tcPr>
          <w:p w14:paraId="36866805" w14:textId="77777777" w:rsidR="0087775A" w:rsidRDefault="00FF0B55">
            <w:pPr>
              <w:spacing w:after="0" w:line="240" w:lineRule="auto"/>
              <w:jc w:val="right"/>
            </w:pPr>
            <w:r>
              <w:rPr>
                <w:rFonts w:ascii="Times New Roman" w:hAnsi="Times New Roman" w:cs="Times New Roman"/>
                <w:sz w:val="18"/>
              </w:rPr>
              <w:t>126.135.152</w:t>
            </w:r>
          </w:p>
        </w:tc>
        <w:tc>
          <w:tcPr>
            <w:tcW w:w="800" w:type="pct"/>
            <w:vAlign w:val="bottom"/>
          </w:tcPr>
          <w:p w14:paraId="5D514F5F" w14:textId="77777777" w:rsidR="0087775A" w:rsidRPr="00FF0B55" w:rsidRDefault="00FF0B55">
            <w:pPr>
              <w:spacing w:after="0" w:line="240" w:lineRule="auto"/>
              <w:jc w:val="right"/>
              <w:rPr>
                <w:rFonts w:ascii="Times New Roman" w:hAnsi="Times New Roman" w:cs="Times New Roman"/>
                <w:sz w:val="18"/>
              </w:rPr>
            </w:pPr>
            <w:r w:rsidRPr="00FF0B55">
              <w:rPr>
                <w:rFonts w:ascii="Times New Roman" w:hAnsi="Times New Roman" w:cs="Times New Roman"/>
                <w:sz w:val="18"/>
              </w:rPr>
              <w:t>31,4</w:t>
            </w:r>
          </w:p>
        </w:tc>
      </w:tr>
      <w:tr w:rsidR="0087775A" w14:paraId="34A1CBD6" w14:textId="77777777">
        <w:tc>
          <w:tcPr>
            <w:tcW w:w="2500" w:type="pct"/>
            <w:vAlign w:val="bottom"/>
          </w:tcPr>
          <w:p w14:paraId="390E5476" w14:textId="77777777" w:rsidR="0087775A" w:rsidRDefault="00BB042B">
            <w:pPr>
              <w:spacing w:after="0" w:line="240" w:lineRule="auto"/>
            </w:pPr>
            <w:r>
              <w:rPr>
                <w:rFonts w:ascii="Times New Roman" w:hAnsi="Times New Roman" w:cs="Times New Roman"/>
                <w:b/>
                <w:sz w:val="18"/>
              </w:rPr>
              <w:t>RAZLIKA - VIŠAK/MANJAK</w:t>
            </w:r>
          </w:p>
        </w:tc>
        <w:tc>
          <w:tcPr>
            <w:tcW w:w="1000" w:type="pct"/>
            <w:vAlign w:val="bottom"/>
          </w:tcPr>
          <w:p w14:paraId="75CAF267" w14:textId="77777777" w:rsidR="0087775A" w:rsidRDefault="00BB042B">
            <w:pPr>
              <w:spacing w:after="0" w:line="240" w:lineRule="auto"/>
              <w:jc w:val="right"/>
            </w:pPr>
            <w:r>
              <w:rPr>
                <w:rFonts w:ascii="Times New Roman" w:hAnsi="Times New Roman" w:cs="Times New Roman"/>
                <w:b/>
                <w:sz w:val="18"/>
              </w:rPr>
              <w:t>12.440.241</w:t>
            </w:r>
          </w:p>
        </w:tc>
        <w:tc>
          <w:tcPr>
            <w:tcW w:w="800" w:type="pct"/>
            <w:vAlign w:val="bottom"/>
          </w:tcPr>
          <w:p w14:paraId="05C25AD3" w14:textId="77777777" w:rsidR="0087775A" w:rsidRDefault="00FF0B55">
            <w:pPr>
              <w:spacing w:after="0" w:line="240" w:lineRule="auto"/>
              <w:jc w:val="right"/>
            </w:pPr>
            <w:r>
              <w:rPr>
                <w:rFonts w:ascii="Times New Roman" w:hAnsi="Times New Roman" w:cs="Times New Roman"/>
                <w:b/>
                <w:sz w:val="18"/>
              </w:rPr>
              <w:t>58.915.296</w:t>
            </w:r>
          </w:p>
        </w:tc>
        <w:tc>
          <w:tcPr>
            <w:tcW w:w="800" w:type="pct"/>
            <w:vAlign w:val="bottom"/>
          </w:tcPr>
          <w:p w14:paraId="0C22F871" w14:textId="77777777" w:rsidR="0087775A" w:rsidRPr="00FF0B55" w:rsidRDefault="00FF0B55">
            <w:pPr>
              <w:spacing w:after="0" w:line="240" w:lineRule="auto"/>
              <w:jc w:val="right"/>
              <w:rPr>
                <w:rFonts w:ascii="Times New Roman" w:hAnsi="Times New Roman" w:cs="Times New Roman"/>
                <w:b/>
                <w:sz w:val="18"/>
              </w:rPr>
            </w:pPr>
            <w:r w:rsidRPr="00FF0B55">
              <w:rPr>
                <w:rFonts w:ascii="Times New Roman" w:hAnsi="Times New Roman" w:cs="Times New Roman"/>
                <w:b/>
                <w:sz w:val="18"/>
              </w:rPr>
              <w:t>473,6</w:t>
            </w:r>
          </w:p>
        </w:tc>
      </w:tr>
    </w:tbl>
    <w:p w14:paraId="3E15A0D7" w14:textId="77777777" w:rsidR="0087775A" w:rsidRDefault="0087775A">
      <w:pPr>
        <w:spacing w:after="0" w:line="240" w:lineRule="auto"/>
      </w:pPr>
    </w:p>
    <w:p w14:paraId="5EC8389D" w14:textId="77777777" w:rsidR="0087775A" w:rsidRDefault="00BB042B">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497"/>
        <w:gridCol w:w="1799"/>
        <w:gridCol w:w="1799"/>
        <w:gridCol w:w="899"/>
      </w:tblGrid>
      <w:tr w:rsidR="0087775A" w14:paraId="31692CB8" w14:textId="77777777">
        <w:tc>
          <w:tcPr>
            <w:tcW w:w="2500" w:type="pct"/>
            <w:shd w:val="clear" w:color="auto" w:fill="BCDFFB"/>
            <w:vAlign w:val="center"/>
          </w:tcPr>
          <w:p w14:paraId="4230B713" w14:textId="77777777" w:rsidR="0087775A" w:rsidRDefault="00BB042B">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14:paraId="61EC3E26" w14:textId="77777777" w:rsidR="0087775A" w:rsidRDefault="00FF0B55">
            <w:pPr>
              <w:spacing w:after="0" w:line="240" w:lineRule="auto"/>
              <w:jc w:val="center"/>
            </w:pPr>
            <w:r>
              <w:rPr>
                <w:rFonts w:ascii="Times New Roman" w:hAnsi="Times New Roman" w:cs="Times New Roman"/>
                <w:b/>
                <w:sz w:val="18"/>
              </w:rPr>
              <w:t>REBALANS</w:t>
            </w:r>
            <w:r w:rsidR="00BB042B">
              <w:rPr>
                <w:rFonts w:ascii="Times New Roman" w:hAnsi="Times New Roman" w:cs="Times New Roman"/>
                <w:b/>
                <w:sz w:val="18"/>
              </w:rPr>
              <w:br/>
              <w:t>2023.</w:t>
            </w:r>
          </w:p>
        </w:tc>
        <w:tc>
          <w:tcPr>
            <w:tcW w:w="1000" w:type="pct"/>
            <w:shd w:val="clear" w:color="auto" w:fill="BCDFFB"/>
            <w:vAlign w:val="center"/>
          </w:tcPr>
          <w:p w14:paraId="3F192760" w14:textId="77777777" w:rsidR="0087775A" w:rsidRDefault="00BB042B">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2023.</w:t>
            </w:r>
          </w:p>
        </w:tc>
        <w:tc>
          <w:tcPr>
            <w:tcW w:w="800" w:type="pct"/>
            <w:shd w:val="clear" w:color="auto" w:fill="BCDFFB"/>
            <w:vAlign w:val="center"/>
          </w:tcPr>
          <w:p w14:paraId="4308531C" w14:textId="77777777" w:rsidR="0087775A" w:rsidRDefault="00BB042B">
            <w:pPr>
              <w:spacing w:after="0" w:line="240" w:lineRule="auto"/>
              <w:jc w:val="center"/>
            </w:pPr>
            <w:r>
              <w:rPr>
                <w:rFonts w:ascii="Times New Roman" w:hAnsi="Times New Roman" w:cs="Times New Roman"/>
                <w:b/>
                <w:sz w:val="18"/>
              </w:rPr>
              <w:t>INDEKS</w:t>
            </w:r>
          </w:p>
        </w:tc>
      </w:tr>
      <w:tr w:rsidR="0087775A" w14:paraId="0AB26EA5" w14:textId="77777777">
        <w:tc>
          <w:tcPr>
            <w:tcW w:w="2500" w:type="pct"/>
            <w:shd w:val="clear" w:color="auto" w:fill="BCDFFB"/>
            <w:vAlign w:val="center"/>
          </w:tcPr>
          <w:p w14:paraId="2AE556A0" w14:textId="77777777" w:rsidR="0087775A" w:rsidRDefault="00BB042B">
            <w:pPr>
              <w:spacing w:after="0" w:line="240" w:lineRule="auto"/>
              <w:jc w:val="center"/>
            </w:pPr>
            <w:r>
              <w:rPr>
                <w:rFonts w:ascii="Times New Roman" w:hAnsi="Times New Roman" w:cs="Times New Roman"/>
                <w:sz w:val="14"/>
              </w:rPr>
              <w:t>1</w:t>
            </w:r>
          </w:p>
        </w:tc>
        <w:tc>
          <w:tcPr>
            <w:tcW w:w="1000" w:type="pct"/>
            <w:shd w:val="clear" w:color="auto" w:fill="BCDFFB"/>
            <w:vAlign w:val="center"/>
          </w:tcPr>
          <w:p w14:paraId="3B39126A" w14:textId="77777777" w:rsidR="0087775A" w:rsidRDefault="00BB042B">
            <w:pPr>
              <w:spacing w:after="0" w:line="240" w:lineRule="auto"/>
              <w:jc w:val="center"/>
            </w:pPr>
            <w:r>
              <w:rPr>
                <w:rFonts w:ascii="Times New Roman" w:hAnsi="Times New Roman" w:cs="Times New Roman"/>
                <w:sz w:val="14"/>
              </w:rPr>
              <w:t>2</w:t>
            </w:r>
          </w:p>
        </w:tc>
        <w:tc>
          <w:tcPr>
            <w:tcW w:w="1000" w:type="pct"/>
            <w:shd w:val="clear" w:color="auto" w:fill="BCDFFB"/>
            <w:vAlign w:val="center"/>
          </w:tcPr>
          <w:p w14:paraId="178441A1" w14:textId="77777777" w:rsidR="0087775A" w:rsidRDefault="00BB042B">
            <w:pPr>
              <w:spacing w:after="0" w:line="240" w:lineRule="auto"/>
              <w:jc w:val="center"/>
            </w:pPr>
            <w:r>
              <w:rPr>
                <w:rFonts w:ascii="Times New Roman" w:hAnsi="Times New Roman" w:cs="Times New Roman"/>
                <w:sz w:val="14"/>
              </w:rPr>
              <w:t>3</w:t>
            </w:r>
          </w:p>
        </w:tc>
        <w:tc>
          <w:tcPr>
            <w:tcW w:w="800" w:type="pct"/>
            <w:shd w:val="clear" w:color="auto" w:fill="BCDFFB"/>
            <w:vAlign w:val="center"/>
          </w:tcPr>
          <w:p w14:paraId="47D67E27" w14:textId="77777777" w:rsidR="0087775A" w:rsidRDefault="00BB042B">
            <w:pPr>
              <w:spacing w:after="0" w:line="240" w:lineRule="auto"/>
              <w:jc w:val="center"/>
            </w:pPr>
            <w:r>
              <w:rPr>
                <w:rFonts w:ascii="Times New Roman" w:hAnsi="Times New Roman" w:cs="Times New Roman"/>
                <w:sz w:val="14"/>
              </w:rPr>
              <w:t>4=3/2</w:t>
            </w:r>
          </w:p>
        </w:tc>
      </w:tr>
      <w:tr w:rsidR="0087775A" w14:paraId="0E23DB8E" w14:textId="77777777">
        <w:tc>
          <w:tcPr>
            <w:tcW w:w="2500" w:type="pct"/>
            <w:vAlign w:val="center"/>
          </w:tcPr>
          <w:p w14:paraId="7A4B6690" w14:textId="77777777" w:rsidR="0087775A" w:rsidRDefault="00BB042B">
            <w:pPr>
              <w:spacing w:after="0" w:line="240" w:lineRule="auto"/>
            </w:pPr>
            <w:r>
              <w:rPr>
                <w:rFonts w:ascii="Times New Roman" w:hAnsi="Times New Roman" w:cs="Times New Roman"/>
                <w:sz w:val="18"/>
              </w:rPr>
              <w:t>8 PRIMICI OD FINANCIJSKE IMOVINE I ZADUŽIVANJA</w:t>
            </w:r>
          </w:p>
        </w:tc>
        <w:tc>
          <w:tcPr>
            <w:tcW w:w="1000" w:type="pct"/>
            <w:vAlign w:val="bottom"/>
          </w:tcPr>
          <w:p w14:paraId="39AA8C1D" w14:textId="77777777" w:rsidR="0087775A" w:rsidRDefault="00BB042B">
            <w:pPr>
              <w:spacing w:after="0" w:line="240" w:lineRule="auto"/>
              <w:jc w:val="right"/>
            </w:pPr>
            <w:r>
              <w:rPr>
                <w:rFonts w:ascii="Times New Roman" w:hAnsi="Times New Roman" w:cs="Times New Roman"/>
                <w:sz w:val="18"/>
              </w:rPr>
              <w:t>26.545</w:t>
            </w:r>
          </w:p>
        </w:tc>
        <w:tc>
          <w:tcPr>
            <w:tcW w:w="1000" w:type="pct"/>
            <w:vAlign w:val="bottom"/>
          </w:tcPr>
          <w:p w14:paraId="5ECDFA4B" w14:textId="77777777" w:rsidR="0087775A" w:rsidRDefault="00BB042B">
            <w:pPr>
              <w:spacing w:after="0" w:line="240" w:lineRule="auto"/>
              <w:jc w:val="right"/>
            </w:pPr>
            <w:r>
              <w:rPr>
                <w:rFonts w:ascii="Times New Roman" w:hAnsi="Times New Roman" w:cs="Times New Roman"/>
                <w:sz w:val="18"/>
              </w:rPr>
              <w:t>2.823</w:t>
            </w:r>
          </w:p>
        </w:tc>
        <w:tc>
          <w:tcPr>
            <w:tcW w:w="800" w:type="pct"/>
            <w:vAlign w:val="bottom"/>
          </w:tcPr>
          <w:p w14:paraId="1F07ED35" w14:textId="77777777" w:rsidR="0087775A" w:rsidRDefault="00BB042B">
            <w:pPr>
              <w:spacing w:after="0" w:line="240" w:lineRule="auto"/>
              <w:jc w:val="right"/>
            </w:pPr>
            <w:r>
              <w:rPr>
                <w:rFonts w:ascii="Times New Roman" w:hAnsi="Times New Roman" w:cs="Times New Roman"/>
                <w:sz w:val="18"/>
              </w:rPr>
              <w:t>10,6</w:t>
            </w:r>
          </w:p>
        </w:tc>
      </w:tr>
      <w:tr w:rsidR="0087775A" w14:paraId="32E3B3A2" w14:textId="77777777">
        <w:tc>
          <w:tcPr>
            <w:tcW w:w="2500" w:type="pct"/>
            <w:vAlign w:val="bottom"/>
          </w:tcPr>
          <w:p w14:paraId="10AA8D23" w14:textId="77777777" w:rsidR="0087775A" w:rsidRDefault="00BB042B">
            <w:pPr>
              <w:spacing w:after="0" w:line="240" w:lineRule="auto"/>
            </w:pPr>
            <w:r>
              <w:rPr>
                <w:rFonts w:ascii="Times New Roman" w:hAnsi="Times New Roman" w:cs="Times New Roman"/>
                <w:sz w:val="18"/>
              </w:rPr>
              <w:t>5 IZDACI ZA FINANCIJSKU IMOVINU I OTPLATE ZAJMOVA</w:t>
            </w:r>
          </w:p>
        </w:tc>
        <w:tc>
          <w:tcPr>
            <w:tcW w:w="1000" w:type="pct"/>
            <w:vAlign w:val="bottom"/>
          </w:tcPr>
          <w:p w14:paraId="79F5342E" w14:textId="77777777" w:rsidR="0087775A" w:rsidRDefault="00BB042B">
            <w:pPr>
              <w:spacing w:after="0" w:line="240" w:lineRule="auto"/>
              <w:jc w:val="right"/>
            </w:pPr>
            <w:r>
              <w:rPr>
                <w:rFonts w:ascii="Times New Roman" w:hAnsi="Times New Roman" w:cs="Times New Roman"/>
                <w:sz w:val="18"/>
              </w:rPr>
              <w:t>0</w:t>
            </w:r>
          </w:p>
        </w:tc>
        <w:tc>
          <w:tcPr>
            <w:tcW w:w="1000" w:type="pct"/>
            <w:vAlign w:val="bottom"/>
          </w:tcPr>
          <w:p w14:paraId="4EDFB8F4" w14:textId="77777777" w:rsidR="0087775A" w:rsidRDefault="00BB042B">
            <w:pPr>
              <w:spacing w:after="0" w:line="240" w:lineRule="auto"/>
              <w:jc w:val="right"/>
            </w:pPr>
            <w:r>
              <w:rPr>
                <w:rFonts w:ascii="Times New Roman" w:hAnsi="Times New Roman" w:cs="Times New Roman"/>
                <w:sz w:val="18"/>
              </w:rPr>
              <w:t>0</w:t>
            </w:r>
          </w:p>
        </w:tc>
        <w:tc>
          <w:tcPr>
            <w:tcW w:w="800" w:type="pct"/>
            <w:vAlign w:val="bottom"/>
          </w:tcPr>
          <w:p w14:paraId="77C7465F" w14:textId="77777777" w:rsidR="0087775A" w:rsidRDefault="0087775A">
            <w:pPr>
              <w:spacing w:after="0" w:line="240" w:lineRule="auto"/>
              <w:jc w:val="right"/>
            </w:pPr>
          </w:p>
        </w:tc>
      </w:tr>
      <w:tr w:rsidR="0087775A" w14:paraId="5FAC2D07" w14:textId="77777777">
        <w:tc>
          <w:tcPr>
            <w:tcW w:w="2500" w:type="pct"/>
            <w:vAlign w:val="bottom"/>
          </w:tcPr>
          <w:p w14:paraId="646F10E9" w14:textId="77777777" w:rsidR="0087775A" w:rsidRDefault="00BB042B">
            <w:pPr>
              <w:spacing w:after="0" w:line="240" w:lineRule="auto"/>
            </w:pPr>
            <w:r>
              <w:rPr>
                <w:rFonts w:ascii="Times New Roman" w:hAnsi="Times New Roman" w:cs="Times New Roman"/>
                <w:b/>
                <w:sz w:val="18"/>
              </w:rPr>
              <w:t>RAZLIKA PRIMITAKA I IZDATAKA</w:t>
            </w:r>
          </w:p>
        </w:tc>
        <w:tc>
          <w:tcPr>
            <w:tcW w:w="1000" w:type="pct"/>
            <w:vAlign w:val="bottom"/>
          </w:tcPr>
          <w:p w14:paraId="13E8AA4A" w14:textId="77777777" w:rsidR="0087775A" w:rsidRDefault="00BB042B">
            <w:pPr>
              <w:spacing w:after="0" w:line="240" w:lineRule="auto"/>
              <w:jc w:val="right"/>
            </w:pPr>
            <w:r>
              <w:rPr>
                <w:rFonts w:ascii="Times New Roman" w:hAnsi="Times New Roman" w:cs="Times New Roman"/>
                <w:b/>
                <w:sz w:val="18"/>
              </w:rPr>
              <w:t>26.545</w:t>
            </w:r>
          </w:p>
        </w:tc>
        <w:tc>
          <w:tcPr>
            <w:tcW w:w="1000" w:type="pct"/>
            <w:vAlign w:val="bottom"/>
          </w:tcPr>
          <w:p w14:paraId="5FD9A515" w14:textId="77777777" w:rsidR="0087775A" w:rsidRDefault="00BB042B">
            <w:pPr>
              <w:spacing w:after="0" w:line="240" w:lineRule="auto"/>
              <w:jc w:val="right"/>
            </w:pPr>
            <w:r>
              <w:rPr>
                <w:rFonts w:ascii="Times New Roman" w:hAnsi="Times New Roman" w:cs="Times New Roman"/>
                <w:b/>
                <w:sz w:val="18"/>
              </w:rPr>
              <w:t>2.823</w:t>
            </w:r>
          </w:p>
        </w:tc>
        <w:tc>
          <w:tcPr>
            <w:tcW w:w="800" w:type="pct"/>
            <w:vAlign w:val="bottom"/>
          </w:tcPr>
          <w:p w14:paraId="3B9F0C6B" w14:textId="77777777" w:rsidR="0087775A" w:rsidRDefault="00BB042B">
            <w:pPr>
              <w:spacing w:after="0" w:line="240" w:lineRule="auto"/>
              <w:jc w:val="right"/>
            </w:pPr>
            <w:r>
              <w:rPr>
                <w:rFonts w:ascii="Times New Roman" w:hAnsi="Times New Roman" w:cs="Times New Roman"/>
                <w:b/>
                <w:sz w:val="18"/>
              </w:rPr>
              <w:t>10,6</w:t>
            </w:r>
          </w:p>
        </w:tc>
      </w:tr>
      <w:tr w:rsidR="0087775A" w14:paraId="73946777" w14:textId="77777777">
        <w:tc>
          <w:tcPr>
            <w:tcW w:w="2500" w:type="pct"/>
            <w:vAlign w:val="bottom"/>
          </w:tcPr>
          <w:p w14:paraId="6B483C4F" w14:textId="77777777" w:rsidR="0087775A" w:rsidRDefault="00BB042B">
            <w:pPr>
              <w:spacing w:after="0" w:line="240" w:lineRule="auto"/>
            </w:pPr>
            <w:r>
              <w:rPr>
                <w:rFonts w:ascii="Times New Roman" w:hAnsi="Times New Roman" w:cs="Times New Roman"/>
                <w:sz w:val="18"/>
              </w:rPr>
              <w:t>PRIJENOS SREDSTAVA IZ PRETHODNE GODINE</w:t>
            </w:r>
          </w:p>
        </w:tc>
        <w:tc>
          <w:tcPr>
            <w:tcW w:w="1000" w:type="pct"/>
            <w:vAlign w:val="bottom"/>
          </w:tcPr>
          <w:p w14:paraId="4D3E8993" w14:textId="77777777" w:rsidR="0087775A" w:rsidRDefault="00BB042B">
            <w:pPr>
              <w:spacing w:after="0" w:line="240" w:lineRule="auto"/>
              <w:jc w:val="right"/>
            </w:pPr>
            <w:r>
              <w:rPr>
                <w:rFonts w:ascii="Times New Roman" w:hAnsi="Times New Roman" w:cs="Times New Roman"/>
                <w:sz w:val="18"/>
              </w:rPr>
              <w:t>377.830.480</w:t>
            </w:r>
          </w:p>
        </w:tc>
        <w:tc>
          <w:tcPr>
            <w:tcW w:w="800" w:type="pct"/>
            <w:vAlign w:val="bottom"/>
          </w:tcPr>
          <w:p w14:paraId="7330B560" w14:textId="77777777" w:rsidR="0087775A" w:rsidRDefault="00BB042B">
            <w:pPr>
              <w:spacing w:after="0" w:line="240" w:lineRule="auto"/>
              <w:jc w:val="right"/>
            </w:pPr>
            <w:r>
              <w:rPr>
                <w:rFonts w:ascii="Times New Roman" w:hAnsi="Times New Roman" w:cs="Times New Roman"/>
                <w:sz w:val="18"/>
              </w:rPr>
              <w:t>377.830.480</w:t>
            </w:r>
          </w:p>
        </w:tc>
        <w:tc>
          <w:tcPr>
            <w:tcW w:w="800" w:type="pct"/>
            <w:vAlign w:val="bottom"/>
          </w:tcPr>
          <w:p w14:paraId="2EAB1013" w14:textId="77777777" w:rsidR="0087775A" w:rsidRDefault="00BB042B">
            <w:pPr>
              <w:spacing w:after="0" w:line="240" w:lineRule="auto"/>
              <w:jc w:val="right"/>
            </w:pPr>
            <w:r>
              <w:rPr>
                <w:rFonts w:ascii="Times New Roman" w:hAnsi="Times New Roman" w:cs="Times New Roman"/>
                <w:sz w:val="18"/>
              </w:rPr>
              <w:t>100,0</w:t>
            </w:r>
          </w:p>
        </w:tc>
      </w:tr>
      <w:tr w:rsidR="0087775A" w14:paraId="1E32055E" w14:textId="77777777">
        <w:tc>
          <w:tcPr>
            <w:tcW w:w="2500" w:type="pct"/>
            <w:vAlign w:val="bottom"/>
          </w:tcPr>
          <w:p w14:paraId="1F5233C6" w14:textId="77777777" w:rsidR="0087775A" w:rsidRDefault="00BB042B">
            <w:pPr>
              <w:spacing w:after="0" w:line="240" w:lineRule="auto"/>
            </w:pPr>
            <w:r>
              <w:rPr>
                <w:rFonts w:ascii="Times New Roman" w:hAnsi="Times New Roman" w:cs="Times New Roman"/>
                <w:sz w:val="18"/>
              </w:rPr>
              <w:t>PRIJENOS SREDSTAVA U SLJEDEĆE RAZDOBLJE</w:t>
            </w:r>
          </w:p>
        </w:tc>
        <w:tc>
          <w:tcPr>
            <w:tcW w:w="1000" w:type="pct"/>
            <w:vAlign w:val="bottom"/>
          </w:tcPr>
          <w:p w14:paraId="2F98EA01" w14:textId="77777777" w:rsidR="0087775A" w:rsidRDefault="00BB042B">
            <w:pPr>
              <w:spacing w:after="0" w:line="240" w:lineRule="auto"/>
              <w:jc w:val="right"/>
            </w:pPr>
            <w:r>
              <w:rPr>
                <w:rFonts w:ascii="Times New Roman" w:hAnsi="Times New Roman" w:cs="Times New Roman"/>
                <w:sz w:val="18"/>
              </w:rPr>
              <w:t>-390.297.266</w:t>
            </w:r>
          </w:p>
        </w:tc>
        <w:tc>
          <w:tcPr>
            <w:tcW w:w="800" w:type="pct"/>
            <w:vAlign w:val="bottom"/>
          </w:tcPr>
          <w:p w14:paraId="1855EF40" w14:textId="77777777" w:rsidR="0087775A" w:rsidRDefault="00BB042B" w:rsidP="00BB042B">
            <w:pPr>
              <w:spacing w:after="0" w:line="240" w:lineRule="auto"/>
              <w:jc w:val="right"/>
            </w:pPr>
            <w:r>
              <w:rPr>
                <w:rFonts w:ascii="Times New Roman" w:hAnsi="Times New Roman" w:cs="Times New Roman"/>
                <w:sz w:val="18"/>
              </w:rPr>
              <w:t>-436.748.599</w:t>
            </w:r>
          </w:p>
        </w:tc>
        <w:tc>
          <w:tcPr>
            <w:tcW w:w="800" w:type="pct"/>
            <w:vAlign w:val="bottom"/>
          </w:tcPr>
          <w:p w14:paraId="33C81748" w14:textId="77777777" w:rsidR="0087775A" w:rsidRDefault="00BB042B">
            <w:pPr>
              <w:spacing w:after="0" w:line="240" w:lineRule="auto"/>
              <w:jc w:val="right"/>
            </w:pPr>
            <w:r>
              <w:rPr>
                <w:rFonts w:ascii="Times New Roman" w:hAnsi="Times New Roman" w:cs="Times New Roman"/>
                <w:sz w:val="18"/>
              </w:rPr>
              <w:t>111,9</w:t>
            </w:r>
          </w:p>
        </w:tc>
      </w:tr>
      <w:tr w:rsidR="0087775A" w14:paraId="25424A34" w14:textId="77777777">
        <w:tc>
          <w:tcPr>
            <w:tcW w:w="2500" w:type="pct"/>
            <w:vAlign w:val="bottom"/>
          </w:tcPr>
          <w:p w14:paraId="0004A352" w14:textId="77777777" w:rsidR="0087775A" w:rsidRDefault="00BB042B">
            <w:pPr>
              <w:spacing w:after="0" w:line="240" w:lineRule="auto"/>
            </w:pPr>
            <w:r>
              <w:rPr>
                <w:rFonts w:ascii="Times New Roman" w:hAnsi="Times New Roman" w:cs="Times New Roman"/>
                <w:sz w:val="18"/>
              </w:rPr>
              <w:t>NETO FINANCIRANJE</w:t>
            </w:r>
          </w:p>
        </w:tc>
        <w:tc>
          <w:tcPr>
            <w:tcW w:w="1000" w:type="pct"/>
            <w:vAlign w:val="bottom"/>
          </w:tcPr>
          <w:p w14:paraId="4CFA2ECB" w14:textId="77777777" w:rsidR="0087775A" w:rsidRDefault="00BB042B">
            <w:pPr>
              <w:spacing w:after="0" w:line="240" w:lineRule="auto"/>
              <w:jc w:val="right"/>
            </w:pPr>
            <w:r>
              <w:rPr>
                <w:rFonts w:ascii="Times New Roman" w:hAnsi="Times New Roman" w:cs="Times New Roman"/>
                <w:sz w:val="18"/>
              </w:rPr>
              <w:t>-12.440.241</w:t>
            </w:r>
          </w:p>
        </w:tc>
        <w:tc>
          <w:tcPr>
            <w:tcW w:w="800" w:type="pct"/>
            <w:vAlign w:val="bottom"/>
          </w:tcPr>
          <w:p w14:paraId="34E20FD1" w14:textId="77777777" w:rsidR="0087775A" w:rsidRDefault="00BB042B">
            <w:pPr>
              <w:spacing w:after="0" w:line="240" w:lineRule="auto"/>
              <w:jc w:val="right"/>
            </w:pPr>
            <w:r>
              <w:rPr>
                <w:rFonts w:ascii="Times New Roman" w:hAnsi="Times New Roman" w:cs="Times New Roman"/>
                <w:sz w:val="18"/>
              </w:rPr>
              <w:t>-58.915.296</w:t>
            </w:r>
          </w:p>
        </w:tc>
        <w:tc>
          <w:tcPr>
            <w:tcW w:w="800" w:type="pct"/>
            <w:vAlign w:val="bottom"/>
          </w:tcPr>
          <w:p w14:paraId="5F85A61B" w14:textId="77777777" w:rsidR="0087775A" w:rsidRPr="00BB042B" w:rsidRDefault="00BB042B" w:rsidP="00BB042B">
            <w:pPr>
              <w:spacing w:after="0" w:line="240" w:lineRule="auto"/>
              <w:jc w:val="right"/>
              <w:rPr>
                <w:rFonts w:ascii="Times New Roman" w:hAnsi="Times New Roman" w:cs="Times New Roman"/>
                <w:sz w:val="18"/>
              </w:rPr>
            </w:pPr>
            <w:r>
              <w:rPr>
                <w:rFonts w:ascii="Times New Roman" w:hAnsi="Times New Roman" w:cs="Times New Roman"/>
                <w:sz w:val="18"/>
              </w:rPr>
              <w:t>473,6</w:t>
            </w:r>
          </w:p>
        </w:tc>
      </w:tr>
      <w:tr w:rsidR="0087775A" w14:paraId="37312C4E" w14:textId="77777777">
        <w:tc>
          <w:tcPr>
            <w:tcW w:w="2500" w:type="pct"/>
            <w:vAlign w:val="bottom"/>
          </w:tcPr>
          <w:p w14:paraId="7B25720C" w14:textId="77777777" w:rsidR="0087775A" w:rsidRDefault="00BB042B">
            <w:pPr>
              <w:spacing w:after="0" w:line="240" w:lineRule="auto"/>
            </w:pPr>
            <w:r>
              <w:rPr>
                <w:rFonts w:ascii="Times New Roman" w:hAnsi="Times New Roman" w:cs="Times New Roman"/>
                <w:b/>
                <w:sz w:val="18"/>
              </w:rPr>
              <w:t>VIŠAK/MANJAK + NETO FINANCIRANJE</w:t>
            </w:r>
          </w:p>
        </w:tc>
        <w:tc>
          <w:tcPr>
            <w:tcW w:w="1000" w:type="pct"/>
            <w:vAlign w:val="bottom"/>
          </w:tcPr>
          <w:p w14:paraId="6695294C" w14:textId="77777777" w:rsidR="0087775A" w:rsidRDefault="00BB042B">
            <w:pPr>
              <w:spacing w:after="0" w:line="240" w:lineRule="auto"/>
              <w:jc w:val="right"/>
            </w:pPr>
            <w:r>
              <w:rPr>
                <w:rFonts w:ascii="Times New Roman" w:hAnsi="Times New Roman" w:cs="Times New Roman"/>
                <w:b/>
                <w:sz w:val="18"/>
              </w:rPr>
              <w:t>0</w:t>
            </w:r>
          </w:p>
        </w:tc>
        <w:tc>
          <w:tcPr>
            <w:tcW w:w="800" w:type="pct"/>
            <w:vAlign w:val="bottom"/>
          </w:tcPr>
          <w:p w14:paraId="035E3B07" w14:textId="77777777" w:rsidR="0087775A" w:rsidRDefault="00BB042B">
            <w:pPr>
              <w:spacing w:after="0" w:line="240" w:lineRule="auto"/>
              <w:jc w:val="right"/>
            </w:pPr>
            <w:r>
              <w:rPr>
                <w:rFonts w:ascii="Times New Roman" w:hAnsi="Times New Roman" w:cs="Times New Roman"/>
                <w:b/>
                <w:sz w:val="18"/>
              </w:rPr>
              <w:t>0</w:t>
            </w:r>
          </w:p>
        </w:tc>
        <w:tc>
          <w:tcPr>
            <w:tcW w:w="800" w:type="pct"/>
            <w:vAlign w:val="bottom"/>
          </w:tcPr>
          <w:p w14:paraId="510B3D08" w14:textId="77777777" w:rsidR="0087775A" w:rsidRDefault="0087775A">
            <w:pPr>
              <w:spacing w:after="0" w:line="240" w:lineRule="auto"/>
              <w:jc w:val="right"/>
            </w:pPr>
          </w:p>
        </w:tc>
      </w:tr>
    </w:tbl>
    <w:p w14:paraId="747D825A" w14:textId="77777777" w:rsidR="0087775A" w:rsidRDefault="0087775A">
      <w:pPr>
        <w:spacing w:after="0" w:line="240" w:lineRule="auto"/>
      </w:pPr>
    </w:p>
    <w:p w14:paraId="0DFEA49E" w14:textId="77777777" w:rsidR="00980B18" w:rsidRDefault="00980B18">
      <w:pPr>
        <w:spacing w:after="0" w:line="240" w:lineRule="auto"/>
      </w:pPr>
    </w:p>
    <w:p w14:paraId="7CFE06DB" w14:textId="05BBAD12" w:rsidR="00980B18" w:rsidRDefault="00980B18" w:rsidP="00A02F90">
      <w:pPr>
        <w:widowControl w:val="0"/>
        <w:tabs>
          <w:tab w:val="left" w:pos="567"/>
          <w:tab w:val="left" w:pos="2153"/>
        </w:tabs>
        <w:adjustRightInd w:val="0"/>
        <w:spacing w:after="0" w:line="240" w:lineRule="auto"/>
        <w:jc w:val="both"/>
        <w:rPr>
          <w:rFonts w:ascii="Times New Roman" w:eastAsia="Times New Roman" w:hAnsi="Times New Roman" w:cs="Times New Roman"/>
          <w:iCs/>
          <w:sz w:val="24"/>
          <w:szCs w:val="24"/>
        </w:rPr>
      </w:pPr>
      <w:r w:rsidRPr="003167CC">
        <w:rPr>
          <w:rFonts w:ascii="Times New Roman" w:eastAsia="Times New Roman" w:hAnsi="Times New Roman" w:cs="Times New Roman"/>
          <w:iCs/>
          <w:sz w:val="24"/>
          <w:szCs w:val="24"/>
        </w:rPr>
        <w:t>Primici od financijske imovine i zaduživanja ostvareni su u iznosu od 2</w:t>
      </w:r>
      <w:r w:rsidRPr="003167CC">
        <w:rPr>
          <w:rFonts w:ascii="Times New Roman" w:eastAsia="Times New Roman" w:hAnsi="Times New Roman" w:cs="Times New Roman"/>
          <w:bCs/>
          <w:iCs/>
          <w:sz w:val="24"/>
          <w:szCs w:val="24"/>
        </w:rPr>
        <w:t>.823,24 EUR</w:t>
      </w:r>
      <w:r w:rsidRPr="003167CC">
        <w:rPr>
          <w:rFonts w:ascii="Times New Roman" w:eastAsia="Times New Roman" w:hAnsi="Times New Roman" w:cs="Times New Roman"/>
          <w:b/>
          <w:iCs/>
          <w:sz w:val="24"/>
          <w:szCs w:val="24"/>
        </w:rPr>
        <w:t xml:space="preserve"> </w:t>
      </w:r>
      <w:r w:rsidRPr="003167CC">
        <w:rPr>
          <w:rFonts w:ascii="Times New Roman" w:eastAsia="Times New Roman" w:hAnsi="Times New Roman" w:cs="Times New Roman"/>
          <w:iCs/>
          <w:sz w:val="24"/>
          <w:szCs w:val="24"/>
        </w:rPr>
        <w:t xml:space="preserve">(10,64%), a odnose se na povrate zajmova danih tuzemnim trgovačkim društvima izvan javnog sektora. </w:t>
      </w:r>
    </w:p>
    <w:p w14:paraId="0BEB3B0C" w14:textId="77777777" w:rsidR="000527B1" w:rsidRDefault="000527B1" w:rsidP="00A02F90">
      <w:pPr>
        <w:widowControl w:val="0"/>
        <w:tabs>
          <w:tab w:val="left" w:pos="567"/>
          <w:tab w:val="left" w:pos="2153"/>
        </w:tabs>
        <w:adjustRightInd w:val="0"/>
        <w:spacing w:after="0" w:line="240" w:lineRule="auto"/>
        <w:jc w:val="both"/>
        <w:rPr>
          <w:rFonts w:ascii="Times New Roman" w:eastAsia="Times New Roman" w:hAnsi="Times New Roman" w:cs="Times New Roman"/>
          <w:iCs/>
          <w:sz w:val="24"/>
          <w:szCs w:val="24"/>
        </w:rPr>
      </w:pPr>
      <w:bookmarkStart w:id="0" w:name="_GoBack"/>
      <w:bookmarkEnd w:id="0"/>
    </w:p>
    <w:p w14:paraId="3859E802" w14:textId="77777777" w:rsidR="00980B18" w:rsidRDefault="00980B18" w:rsidP="00A02F90">
      <w:pPr>
        <w:spacing w:after="0" w:line="240" w:lineRule="auto"/>
      </w:pPr>
    </w:p>
    <w:p w14:paraId="6C2676A8" w14:textId="77777777" w:rsidR="00980B18" w:rsidRDefault="00980B18" w:rsidP="00361C18">
      <w:pPr>
        <w:spacing w:line="240" w:lineRule="auto"/>
        <w:jc w:val="both"/>
        <w:rPr>
          <w:rFonts w:ascii="Times New Roman" w:hAnsi="Times New Roman" w:cs="Times New Roman"/>
          <w:sz w:val="24"/>
          <w:szCs w:val="24"/>
        </w:rPr>
      </w:pPr>
      <w:r w:rsidRPr="00980B18">
        <w:rPr>
          <w:rFonts w:ascii="Times New Roman" w:hAnsi="Times New Roman" w:cs="Times New Roman"/>
          <w:sz w:val="24"/>
          <w:szCs w:val="24"/>
        </w:rPr>
        <w:t>PRIJENOS SREDSTAVA IZ PRETHODNE GODINE I PRIJENOS SREDSTAVA U SLJEDEĆE RAZDOBLJE</w:t>
      </w:r>
    </w:p>
    <w:p w14:paraId="1AA2F462" w14:textId="78516255" w:rsidR="00980B18" w:rsidRDefault="00980B18" w:rsidP="00A02F90">
      <w:pPr>
        <w:spacing w:after="0" w:line="240" w:lineRule="auto"/>
        <w:jc w:val="both"/>
        <w:rPr>
          <w:rFonts w:ascii="Times New Roman" w:eastAsia="Times New Roman" w:hAnsi="Times New Roman" w:cs="Times New Roman"/>
          <w:iCs/>
          <w:sz w:val="24"/>
          <w:szCs w:val="24"/>
        </w:rPr>
      </w:pPr>
      <w:r w:rsidRPr="00A34DF2">
        <w:rPr>
          <w:rFonts w:ascii="Times New Roman" w:eastAsia="Times New Roman" w:hAnsi="Times New Roman" w:cs="Times New Roman"/>
          <w:iCs/>
          <w:sz w:val="24"/>
          <w:szCs w:val="24"/>
        </w:rPr>
        <w:t>Sukladno Uputi o primjeni modificiranog novčanog načela u postupku planiranja i izvršavanja državnog proračuna i financijskih planova izvanproračunskih korisnika državnog proračuna u izvještajnom razdoblju ostvareni su ukupni prihodi i primici u iznosu od 185.053.271,18 EUR, rashodi i izdaci u iznosu od 126.135.151,85 EUR</w:t>
      </w:r>
      <w:r>
        <w:rPr>
          <w:rFonts w:ascii="Times New Roman" w:eastAsia="Times New Roman" w:hAnsi="Times New Roman" w:cs="Times New Roman"/>
          <w:iCs/>
          <w:sz w:val="24"/>
          <w:szCs w:val="24"/>
        </w:rPr>
        <w:t xml:space="preserve"> pa je </w:t>
      </w:r>
      <w:r w:rsidRPr="00A34DF2">
        <w:rPr>
          <w:rFonts w:ascii="Times New Roman" w:eastAsia="Times New Roman" w:hAnsi="Times New Roman" w:cs="Times New Roman"/>
          <w:iCs/>
          <w:sz w:val="24"/>
          <w:szCs w:val="24"/>
        </w:rPr>
        <w:t>ostvaren višak prihoda</w:t>
      </w:r>
      <w:r>
        <w:rPr>
          <w:rFonts w:ascii="Times New Roman" w:eastAsia="Times New Roman" w:hAnsi="Times New Roman" w:cs="Times New Roman"/>
          <w:iCs/>
          <w:sz w:val="24"/>
          <w:szCs w:val="24"/>
        </w:rPr>
        <w:t xml:space="preserve"> i primitaka</w:t>
      </w:r>
      <w:r w:rsidRPr="00A34DF2">
        <w:rPr>
          <w:rFonts w:ascii="Times New Roman" w:eastAsia="Times New Roman" w:hAnsi="Times New Roman" w:cs="Times New Roman"/>
          <w:iCs/>
          <w:sz w:val="24"/>
          <w:szCs w:val="24"/>
        </w:rPr>
        <w:t xml:space="preserve"> tekućeg razdoblja u iznosu od 58.918.119,33 EUR koji s </w:t>
      </w:r>
      <w:r>
        <w:rPr>
          <w:rFonts w:ascii="Times New Roman" w:eastAsia="Times New Roman" w:hAnsi="Times New Roman" w:cs="Times New Roman"/>
          <w:iCs/>
          <w:sz w:val="24"/>
          <w:szCs w:val="24"/>
        </w:rPr>
        <w:t>prijenosom sredstava iz prethodne godine</w:t>
      </w:r>
      <w:r w:rsidRPr="00A34DF2">
        <w:rPr>
          <w:rFonts w:ascii="Times New Roman" w:eastAsia="Times New Roman" w:hAnsi="Times New Roman" w:cs="Times New Roman"/>
          <w:iCs/>
          <w:sz w:val="24"/>
          <w:szCs w:val="24"/>
        </w:rPr>
        <w:t xml:space="preserve"> u iznosu od 377.830.479,90 EUR čini </w:t>
      </w:r>
      <w:r>
        <w:rPr>
          <w:rFonts w:ascii="Times New Roman" w:eastAsia="Times New Roman" w:hAnsi="Times New Roman" w:cs="Times New Roman"/>
          <w:iCs/>
          <w:sz w:val="24"/>
          <w:szCs w:val="24"/>
        </w:rPr>
        <w:t xml:space="preserve">prijenos sredstava u sljedeće razdoblje </w:t>
      </w:r>
      <w:r w:rsidRPr="00A34DF2">
        <w:rPr>
          <w:rFonts w:ascii="Times New Roman" w:eastAsia="Times New Roman" w:hAnsi="Times New Roman" w:cs="Times New Roman"/>
          <w:iCs/>
          <w:sz w:val="24"/>
          <w:szCs w:val="24"/>
        </w:rPr>
        <w:t>u iznosu od 436.748.599,23 EUR</w:t>
      </w:r>
      <w:r>
        <w:rPr>
          <w:rFonts w:ascii="Times New Roman" w:eastAsia="Times New Roman" w:hAnsi="Times New Roman" w:cs="Times New Roman"/>
          <w:iCs/>
          <w:sz w:val="24"/>
          <w:szCs w:val="24"/>
        </w:rPr>
        <w:t xml:space="preserve">, za pokriće već preuzetih obveza odnosno aktivnosti sukladno zakonskim propisima i odlukama/zaključcima Vlade Republike Hrvatske. </w:t>
      </w:r>
      <w:r w:rsidRPr="0048256E">
        <w:rPr>
          <w:rFonts w:ascii="Times New Roman" w:eastAsia="Times New Roman" w:hAnsi="Times New Roman" w:cs="Times New Roman"/>
          <w:iCs/>
          <w:sz w:val="24"/>
          <w:szCs w:val="24"/>
        </w:rPr>
        <w:t xml:space="preserve">Ostvareni višak prihoda i primitaka odnosi se najvećim djelom na </w:t>
      </w:r>
      <w:r w:rsidRPr="00CD6E12">
        <w:rPr>
          <w:rFonts w:ascii="Times New Roman" w:eastAsia="Times New Roman" w:hAnsi="Times New Roman" w:cs="Times New Roman"/>
          <w:iCs/>
          <w:sz w:val="24"/>
          <w:szCs w:val="24"/>
        </w:rPr>
        <w:t>prihode od prodaje emisijskih jedinica stakleničkih plinova putem dražbi temeljem Zakona o klimatskim promjenama i zaštiti ozonskog sloja</w:t>
      </w:r>
      <w:r>
        <w:rPr>
          <w:rFonts w:ascii="Times New Roman" w:eastAsia="Times New Roman" w:hAnsi="Times New Roman" w:cs="Times New Roman"/>
          <w:iCs/>
          <w:sz w:val="24"/>
          <w:szCs w:val="24"/>
        </w:rPr>
        <w:t xml:space="preserve"> </w:t>
      </w:r>
      <w:r w:rsidRPr="0048256E">
        <w:rPr>
          <w:rFonts w:ascii="Times New Roman" w:eastAsia="Times New Roman" w:hAnsi="Times New Roman" w:cs="Times New Roman"/>
          <w:iCs/>
          <w:sz w:val="24"/>
          <w:szCs w:val="24"/>
        </w:rPr>
        <w:t xml:space="preserve">te </w:t>
      </w:r>
      <w:r w:rsidRPr="00CD6E12">
        <w:rPr>
          <w:rFonts w:ascii="Times New Roman" w:eastAsia="Times New Roman" w:hAnsi="Times New Roman" w:cs="Times New Roman"/>
          <w:iCs/>
          <w:sz w:val="24"/>
          <w:szCs w:val="24"/>
        </w:rPr>
        <w:t>prihode od naknada temeljem Zakona o gospodarenju otpadom</w:t>
      </w:r>
      <w:r>
        <w:rPr>
          <w:rFonts w:ascii="Times New Roman" w:eastAsia="Times New Roman" w:hAnsi="Times New Roman" w:cs="Times New Roman"/>
          <w:iCs/>
          <w:sz w:val="24"/>
          <w:szCs w:val="24"/>
        </w:rPr>
        <w:t>.</w:t>
      </w:r>
    </w:p>
    <w:p w14:paraId="653647F2" w14:textId="13AB34F3" w:rsidR="000527B1" w:rsidRDefault="000527B1" w:rsidP="00A02F90">
      <w:pPr>
        <w:spacing w:after="0" w:line="240" w:lineRule="auto"/>
        <w:jc w:val="both"/>
        <w:rPr>
          <w:rFonts w:ascii="Times New Roman" w:eastAsia="Times New Roman" w:hAnsi="Times New Roman" w:cs="Times New Roman"/>
          <w:iCs/>
          <w:sz w:val="24"/>
          <w:szCs w:val="24"/>
        </w:rPr>
      </w:pPr>
    </w:p>
    <w:p w14:paraId="2A1AF7CA" w14:textId="370F9225" w:rsidR="000527B1" w:rsidRDefault="000527B1" w:rsidP="00A02F90">
      <w:pPr>
        <w:spacing w:after="0" w:line="240" w:lineRule="auto"/>
        <w:jc w:val="both"/>
        <w:rPr>
          <w:rFonts w:ascii="Times New Roman" w:eastAsia="Times New Roman" w:hAnsi="Times New Roman" w:cs="Times New Roman"/>
          <w:iCs/>
          <w:sz w:val="24"/>
          <w:szCs w:val="24"/>
        </w:rPr>
      </w:pPr>
    </w:p>
    <w:p w14:paraId="6B666CE1" w14:textId="69AFDDCD" w:rsidR="000527B1" w:rsidRDefault="000527B1" w:rsidP="00A02F90">
      <w:pPr>
        <w:spacing w:after="0" w:line="240" w:lineRule="auto"/>
        <w:jc w:val="both"/>
        <w:rPr>
          <w:rFonts w:ascii="Times New Roman" w:eastAsia="Times New Roman" w:hAnsi="Times New Roman" w:cs="Times New Roman"/>
          <w:iCs/>
          <w:sz w:val="24"/>
          <w:szCs w:val="24"/>
        </w:rPr>
      </w:pPr>
    </w:p>
    <w:p w14:paraId="1ADCE3DB" w14:textId="77777777" w:rsidR="000527B1" w:rsidRDefault="000527B1" w:rsidP="00A02F90">
      <w:pPr>
        <w:spacing w:after="0" w:line="240" w:lineRule="auto"/>
        <w:jc w:val="both"/>
        <w:rPr>
          <w:rFonts w:ascii="Times New Roman" w:eastAsia="Times New Roman" w:hAnsi="Times New Roman" w:cs="Times New Roman"/>
          <w:iCs/>
          <w:sz w:val="24"/>
          <w:szCs w:val="24"/>
        </w:rPr>
      </w:pPr>
    </w:p>
    <w:p w14:paraId="7886160F" w14:textId="77777777" w:rsidR="00980B18" w:rsidRDefault="00980B18">
      <w:pPr>
        <w:spacing w:after="0" w:line="240" w:lineRule="auto"/>
      </w:pPr>
    </w:p>
    <w:p w14:paraId="3F736749" w14:textId="77777777" w:rsidR="00980B18" w:rsidRDefault="00980B18" w:rsidP="00980B18">
      <w:pPr>
        <w:spacing w:line="360" w:lineRule="auto"/>
        <w:jc w:val="center"/>
      </w:pPr>
      <w:r>
        <w:rPr>
          <w:rFonts w:ascii="Times New Roman" w:hAnsi="Times New Roman" w:cs="Times New Roman"/>
          <w:b/>
          <w:sz w:val="28"/>
        </w:rPr>
        <w:t>IZVJEŠTAJ O ZADUŽIVANJU NA DOMAĆEM I STRANOM TRŽIŠTU NOVCA I KAPITALA</w:t>
      </w:r>
    </w:p>
    <w:p w14:paraId="494E379B" w14:textId="77777777" w:rsidR="00980B18" w:rsidRPr="00C310E6" w:rsidRDefault="00980B18" w:rsidP="00A02F90">
      <w:pPr>
        <w:pStyle w:val="pf0"/>
        <w:spacing w:before="0" w:beforeAutospacing="0" w:after="0" w:afterAutospacing="0"/>
        <w:jc w:val="both"/>
        <w:rPr>
          <w:iCs/>
        </w:rPr>
      </w:pPr>
      <w:r w:rsidRPr="00C310E6">
        <w:rPr>
          <w:iCs/>
        </w:rPr>
        <w:t>Fond se u izvještajnom razdoblju nije zaduživao na domaćem i stranom tržištu novca i kapitala.</w:t>
      </w:r>
    </w:p>
    <w:p w14:paraId="58B81836" w14:textId="77777777" w:rsidR="00980B18" w:rsidRDefault="00980B18">
      <w:pPr>
        <w:spacing w:after="0" w:line="240" w:lineRule="auto"/>
      </w:pPr>
    </w:p>
    <w:p w14:paraId="2985C6D4" w14:textId="77777777" w:rsidR="00980B18" w:rsidRDefault="00980B18">
      <w:pPr>
        <w:spacing w:after="0" w:line="240" w:lineRule="auto"/>
      </w:pPr>
    </w:p>
    <w:p w14:paraId="0C298C7C" w14:textId="77777777" w:rsidR="00980B18" w:rsidRDefault="00980B18">
      <w:pPr>
        <w:spacing w:after="0" w:line="240" w:lineRule="auto"/>
      </w:pPr>
    </w:p>
    <w:p w14:paraId="30FF1FE1" w14:textId="77777777" w:rsidR="00980B18" w:rsidRDefault="00980B18">
      <w:pPr>
        <w:spacing w:after="0" w:line="240" w:lineRule="auto"/>
      </w:pPr>
    </w:p>
    <w:p w14:paraId="4676C25F" w14:textId="77777777" w:rsidR="00980B18" w:rsidRDefault="00980B18" w:rsidP="00980B18">
      <w:pPr>
        <w:spacing w:line="360" w:lineRule="auto"/>
        <w:jc w:val="center"/>
      </w:pPr>
      <w:r>
        <w:rPr>
          <w:rFonts w:ascii="Times New Roman" w:hAnsi="Times New Roman" w:cs="Times New Roman"/>
          <w:b/>
          <w:sz w:val="28"/>
        </w:rPr>
        <w:t xml:space="preserve">IZVJEŠTAJ O DANIM JAMSTVIMA I PLAĆANJIMA PO PROTESTIRANIM JAMSTVIMA </w:t>
      </w:r>
    </w:p>
    <w:p w14:paraId="550B82DD" w14:textId="77777777" w:rsidR="00980B18" w:rsidRDefault="00980B18" w:rsidP="00A02F90">
      <w:pPr>
        <w:pStyle w:val="pf0"/>
        <w:spacing w:before="0" w:beforeAutospacing="0" w:after="0" w:afterAutospacing="0"/>
        <w:jc w:val="both"/>
        <w:rPr>
          <w:iCs/>
        </w:rPr>
      </w:pPr>
      <w:r w:rsidRPr="00C310E6">
        <w:rPr>
          <w:iCs/>
        </w:rPr>
        <w:t>Fond u izvještajnom razdoblju nije izdao jamstva niti izvršio plaćanja po protestiranim jamstvima</w:t>
      </w:r>
      <w:r>
        <w:rPr>
          <w:iCs/>
        </w:rPr>
        <w:t>.</w:t>
      </w:r>
    </w:p>
    <w:p w14:paraId="35A835A6" w14:textId="77777777" w:rsidR="00980B18" w:rsidRDefault="00980B18">
      <w:pPr>
        <w:spacing w:after="0" w:line="240" w:lineRule="auto"/>
      </w:pPr>
    </w:p>
    <w:sectPr w:rsidR="00980B18" w:rsidSect="000527B1">
      <w:footerReference w:type="default" r:id="rId13"/>
      <w:pgSz w:w="11906" w:h="16838" w:code="9"/>
      <w:pgMar w:top="1417" w:right="1417" w:bottom="1417" w:left="1417" w:header="720" w:footer="720" w:gutter="0"/>
      <w:pgNumType w:start="13"/>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DBD0C" w14:textId="77777777" w:rsidR="002F0980" w:rsidRDefault="002F0980" w:rsidP="002F0980">
      <w:pPr>
        <w:spacing w:after="0" w:line="240" w:lineRule="auto"/>
      </w:pPr>
      <w:r>
        <w:separator/>
      </w:r>
    </w:p>
  </w:endnote>
  <w:endnote w:type="continuationSeparator" w:id="0">
    <w:p w14:paraId="0E581550" w14:textId="77777777" w:rsidR="002F0980" w:rsidRDefault="002F0980" w:rsidP="002F0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471612"/>
      <w:docPartObj>
        <w:docPartGallery w:val="Page Numbers (Bottom of Page)"/>
        <w:docPartUnique/>
      </w:docPartObj>
    </w:sdtPr>
    <w:sdtContent>
      <w:p w14:paraId="7086FE3F" w14:textId="127FC31C" w:rsidR="000527B1" w:rsidRDefault="000527B1">
        <w:pPr>
          <w:pStyle w:val="Podnoje"/>
          <w:jc w:val="center"/>
        </w:pPr>
        <w:r w:rsidRPr="000527B1">
          <w:rPr>
            <w:rFonts w:ascii="Times New Roman" w:hAnsi="Times New Roman" w:cs="Times New Roman"/>
            <w:sz w:val="24"/>
            <w:szCs w:val="24"/>
          </w:rPr>
          <w:fldChar w:fldCharType="begin"/>
        </w:r>
        <w:r w:rsidRPr="000527B1">
          <w:rPr>
            <w:rFonts w:ascii="Times New Roman" w:hAnsi="Times New Roman" w:cs="Times New Roman"/>
            <w:sz w:val="24"/>
            <w:szCs w:val="24"/>
          </w:rPr>
          <w:instrText>PAGE   \* MERGEFORMAT</w:instrText>
        </w:r>
        <w:r w:rsidRPr="000527B1">
          <w:rPr>
            <w:rFonts w:ascii="Times New Roman" w:hAnsi="Times New Roman" w:cs="Times New Roman"/>
            <w:sz w:val="24"/>
            <w:szCs w:val="24"/>
          </w:rPr>
          <w:fldChar w:fldCharType="separate"/>
        </w:r>
        <w:r>
          <w:rPr>
            <w:rFonts w:ascii="Times New Roman" w:hAnsi="Times New Roman" w:cs="Times New Roman"/>
            <w:noProof/>
            <w:sz w:val="24"/>
            <w:szCs w:val="24"/>
          </w:rPr>
          <w:t>14</w:t>
        </w:r>
        <w:r w:rsidRPr="000527B1">
          <w:rPr>
            <w:rFonts w:ascii="Times New Roman" w:hAnsi="Times New Roman" w:cs="Times New Roman"/>
            <w:sz w:val="24"/>
            <w:szCs w:val="24"/>
          </w:rPr>
          <w:fldChar w:fldCharType="end"/>
        </w:r>
      </w:p>
    </w:sdtContent>
  </w:sdt>
  <w:p w14:paraId="133902B2" w14:textId="77777777" w:rsidR="000527B1" w:rsidRDefault="000527B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A5155" w14:textId="77777777" w:rsidR="002F0980" w:rsidRDefault="002F0980" w:rsidP="002F0980">
      <w:pPr>
        <w:spacing w:after="0" w:line="240" w:lineRule="auto"/>
      </w:pPr>
      <w:r>
        <w:separator/>
      </w:r>
    </w:p>
  </w:footnote>
  <w:footnote w:type="continuationSeparator" w:id="0">
    <w:p w14:paraId="7395B3FA" w14:textId="77777777" w:rsidR="002F0980" w:rsidRDefault="002F0980" w:rsidP="002F09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775A"/>
    <w:rsid w:val="000527B1"/>
    <w:rsid w:val="002F0980"/>
    <w:rsid w:val="00361C18"/>
    <w:rsid w:val="00584547"/>
    <w:rsid w:val="007E3096"/>
    <w:rsid w:val="00870348"/>
    <w:rsid w:val="0087775A"/>
    <w:rsid w:val="00980B18"/>
    <w:rsid w:val="00A02F90"/>
    <w:rsid w:val="00BB042B"/>
    <w:rsid w:val="00BD3B2C"/>
    <w:rsid w:val="00FC7BB8"/>
    <w:rsid w:val="00FF0B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2F8DC"/>
  <w15:docId w15:val="{4E4B08B2-F0A9-488D-AFDE-955DD403A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pf0">
    <w:name w:val="pf0"/>
    <w:basedOn w:val="Normal"/>
    <w:rsid w:val="00980B18"/>
    <w:pPr>
      <w:spacing w:before="100" w:beforeAutospacing="1" w:after="100" w:afterAutospacing="1" w:line="240" w:lineRule="auto"/>
    </w:pPr>
    <w:rPr>
      <w:rFonts w:ascii="Times New Roman" w:eastAsia="Times New Roman" w:hAnsi="Times New Roman" w:cs="Times New Roman"/>
      <w:sz w:val="24"/>
      <w:szCs w:val="24"/>
    </w:rPr>
  </w:style>
  <w:style w:type="paragraph" w:styleId="Zaglavlje">
    <w:name w:val="header"/>
    <w:basedOn w:val="Normal"/>
    <w:link w:val="ZaglavljeChar"/>
    <w:uiPriority w:val="99"/>
    <w:unhideWhenUsed/>
    <w:rsid w:val="002F098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F0980"/>
  </w:style>
  <w:style w:type="paragraph" w:styleId="Podnoje">
    <w:name w:val="footer"/>
    <w:basedOn w:val="Normal"/>
    <w:link w:val="PodnojeChar"/>
    <w:uiPriority w:val="99"/>
    <w:unhideWhenUsed/>
    <w:rsid w:val="002F098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F0980"/>
  </w:style>
  <w:style w:type="paragraph" w:styleId="Tekstbalonia">
    <w:name w:val="Balloon Text"/>
    <w:basedOn w:val="Normal"/>
    <w:link w:val="TekstbaloniaChar"/>
    <w:uiPriority w:val="99"/>
    <w:semiHidden/>
    <w:unhideWhenUsed/>
    <w:rsid w:val="000527B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527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zakon.hr/cms.htm?id=6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hr/cms.htm?id=3594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2715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zakon.hr/cms.htm?id=12072" TargetMode="External"/><Relationship Id="rId4" Type="http://schemas.openxmlformats.org/officeDocument/2006/relationships/settings" Target="settings.xml"/><Relationship Id="rId9" Type="http://schemas.openxmlformats.org/officeDocument/2006/relationships/hyperlink" Target="https://www.zakon.hr/cms.htm?id=600"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E32AB-5DA6-4BF3-BCD0-96BCD1FB877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A3F8F91-FAD3-463D-82A0-737F3AD76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1212</Words>
  <Characters>6915</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Hohnjec</dc:creator>
  <cp:lastModifiedBy>Mirela Kovač Jagar</cp:lastModifiedBy>
  <cp:revision>13</cp:revision>
  <cp:lastPrinted>2023-09-14T09:47:00Z</cp:lastPrinted>
  <dcterms:created xsi:type="dcterms:W3CDTF">2023-08-31T12:55:00Z</dcterms:created>
  <dcterms:modified xsi:type="dcterms:W3CDTF">2023-09-14T09:50:00Z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a3cdc3bd-179a-49b0-b165-c82403576a7e</vt:lpwstr>
  </property>
  <property fmtid="{D5CDD505-2E9C-101B-9397-08002B2CF9AE}" pid="3" name="bjSaver">
    <vt:lpwstr>tCU9qMgksnfUmh7S9/XrA5sJdhk1WcHQ</vt:lpwstr>
  </property>
  <property fmtid="{D5CDD505-2E9C-101B-9397-08002B2CF9AE}" pid="4"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5" name="bjDocumentLabelXML-0">
    <vt:lpwstr>ames.com/2008/01/sie/internal/label"&gt;&lt;element uid="937e288e-3614-44b9-bb31-237331b81634" value="" /&gt;&lt;/sisl&gt;</vt:lpwstr>
  </property>
  <property fmtid="{D5CDD505-2E9C-101B-9397-08002B2CF9AE}" pid="6" name="bjDocumentSecurityLabel">
    <vt:lpwstr>NEKLASIFICIRANO</vt:lpwstr>
  </property>
  <property fmtid="{D5CDD505-2E9C-101B-9397-08002B2CF9AE}" pid="7" name="bjClsUserRVM">
    <vt:lpwstr>[]</vt:lpwstr>
  </property>
</Properties>
</file>