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77F" w:rsidRDefault="0058178D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8"/>
        </w:rPr>
        <w:t>OBRAZLOŽENJE IZVRŠENJA FINANCIJSKOG PLANA HŽ PUTNIČKOG PRIJEVOZA ZA PRVO POLUGODIŠTE 2023. GODINE</w:t>
      </w:r>
    </w:p>
    <w:p w:rsidR="004B777F" w:rsidRDefault="0058178D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UVOD</w:t>
      </w:r>
    </w:p>
    <w:p w:rsidR="004B777F" w:rsidRDefault="0058178D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Poslovna godina 2023. započela je dobrim pokazateljima za HŽ Putnički prijevoz u smislu povećanja broja prevezenih putnika te ostvarenih putničkih kilometara i prihoda od prijevoza.</w:t>
      </w:r>
    </w:p>
    <w:p w:rsidR="004B777F" w:rsidRDefault="0058178D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U razdoblju I-VI 2023. godine u odnosu na I-VI 2022. godine, broj prevezenih putnika veći je za 37,8 %, broj putničkih kilometara za 101,4 %, a prihod od prodaje karata za 4,5 %. </w:t>
      </w:r>
    </w:p>
    <w:p w:rsidR="004B777F" w:rsidRDefault="0058178D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Porast broja putnika temelji se ponajviše na besplatnim putovanjima djece i učenika i povoljnijem prijevozu studenata. Naime, u 2022. godini kao Europskoj godini mladih na temelju Zaključka Vlade Republike Hrvatske od 19. rujna 2022. godine, uveden je pilot-projekt povoljnijeg prijevoza redovnih studenata kojim se po jedinstvenoj cijeni mjesečne karte od 9,95 eura omogućava neograničeno korištenje željezničkog prijevoza za oko 113.000 redovnih studenata na području Republike Hrvatske. Pilot-projekt provodi se od 1. listopada 2022. do 30. rujna 2023. godine.</w:t>
      </w:r>
    </w:p>
    <w:p w:rsidR="004B777F" w:rsidRDefault="0058178D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Također je produženo provođenje mjere besplatnog prijevoza za stanovnike pogođene potresom na području Sisačko-moslavačke županije na svim relacijama unutar Republike Hrvatske do 31.12.2023. godine.</w:t>
      </w:r>
    </w:p>
    <w:p w:rsidR="004B777F" w:rsidRDefault="0058178D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PRIHODI</w:t>
      </w:r>
      <w:bookmarkStart w:id="0" w:name="_GoBack"/>
      <w:bookmarkEnd w:id="0"/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624"/>
        <w:gridCol w:w="1499"/>
        <w:gridCol w:w="1499"/>
        <w:gridCol w:w="1498"/>
        <w:gridCol w:w="937"/>
        <w:gridCol w:w="937"/>
      </w:tblGrid>
      <w:tr w:rsidR="004B777F">
        <w:tc>
          <w:tcPr>
            <w:tcW w:w="14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2022.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4B777F" w:rsidRDefault="008A044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IZVORNI PLAN</w:t>
            </w:r>
            <w:r w:rsidR="0058178D">
              <w:rPr>
                <w:rFonts w:ascii="Times New Roman" w:hAnsi="Times New Roman" w:cs="Times New Roman"/>
                <w:b/>
                <w:sz w:val="18"/>
              </w:rPr>
              <w:br/>
              <w:t>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2023.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4B777F">
        <w:tc>
          <w:tcPr>
            <w:tcW w:w="14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5=4/2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6=4/3</w:t>
            </w:r>
          </w:p>
        </w:tc>
      </w:tr>
      <w:tr w:rsidR="004B777F">
        <w:tc>
          <w:tcPr>
            <w:tcW w:w="1400" w:type="pct"/>
            <w:vAlign w:val="bottom"/>
          </w:tcPr>
          <w:p w:rsidR="004B777F" w:rsidRDefault="0058178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6 PRIHODI POSLOVANJA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63.723.194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199.966.382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117.259.585</w:t>
            </w:r>
          </w:p>
        </w:tc>
        <w:tc>
          <w:tcPr>
            <w:tcW w:w="5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184,0</w:t>
            </w:r>
          </w:p>
        </w:tc>
        <w:tc>
          <w:tcPr>
            <w:tcW w:w="5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58,6</w:t>
            </w:r>
          </w:p>
        </w:tc>
      </w:tr>
      <w:tr w:rsidR="004B777F">
        <w:tc>
          <w:tcPr>
            <w:tcW w:w="1400" w:type="pct"/>
            <w:vAlign w:val="bottom"/>
          </w:tcPr>
          <w:p w:rsidR="004B777F" w:rsidRDefault="0058178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7 PRIHODI OD PRODAJE NEFINANCIJSKE IMOVINE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6.995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13.272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22.539</w:t>
            </w:r>
          </w:p>
        </w:tc>
        <w:tc>
          <w:tcPr>
            <w:tcW w:w="5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322,2</w:t>
            </w:r>
          </w:p>
        </w:tc>
        <w:tc>
          <w:tcPr>
            <w:tcW w:w="5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169,8</w:t>
            </w:r>
          </w:p>
        </w:tc>
      </w:tr>
      <w:tr w:rsidR="004B777F">
        <w:tc>
          <w:tcPr>
            <w:tcW w:w="1400" w:type="pct"/>
            <w:vAlign w:val="bottom"/>
          </w:tcPr>
          <w:p w:rsidR="004B777F" w:rsidRDefault="0058178D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63.730.189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199.979.654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117.282.124</w:t>
            </w:r>
          </w:p>
        </w:tc>
        <w:tc>
          <w:tcPr>
            <w:tcW w:w="5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184,0</w:t>
            </w:r>
          </w:p>
        </w:tc>
        <w:tc>
          <w:tcPr>
            <w:tcW w:w="5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58,6</w:t>
            </w:r>
          </w:p>
        </w:tc>
      </w:tr>
    </w:tbl>
    <w:p w:rsidR="004B777F" w:rsidRDefault="004B777F">
      <w:pPr>
        <w:spacing w:after="0" w:line="240" w:lineRule="auto"/>
      </w:pPr>
    </w:p>
    <w:p w:rsidR="004B777F" w:rsidRDefault="0058178D">
      <w:pPr>
        <w:spacing w:line="240" w:lineRule="auto"/>
        <w:jc w:val="both"/>
      </w:pPr>
      <w:r>
        <w:rPr>
          <w:rFonts w:ascii="Times New Roman" w:hAnsi="Times New Roman" w:cs="Times New Roman"/>
          <w:color w:val="000000"/>
          <w:sz w:val="24"/>
        </w:rPr>
        <w:t>Ukupni prihodi</w:t>
      </w:r>
      <w:r>
        <w:rPr>
          <w:rFonts w:ascii="Times New Roman" w:hAnsi="Times New Roman" w:cs="Times New Roman"/>
          <w:b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za prvo polugodište 2023. godine ostvareni su u iznosu od 117.282.124 eura što čini 58,6% godišnjeg plana te su za 84,0 % veći u odnosu na isto razdoblje 2022. godine temeljem povlačenja sredstava za nabavu novih elektromotornih vlakova iz Operativnog programa Konkurentnost i kohezija u iznosu od 41.118.909 eura. Isto tako 5.136.373 eura je povučeno iz Nacionalnog plana oporavka </w:t>
      </w:r>
      <w:r w:rsidR="00ED177D">
        <w:rPr>
          <w:rFonts w:ascii="Times New Roman" w:hAnsi="Times New Roman" w:cs="Times New Roman"/>
          <w:color w:val="000000"/>
          <w:sz w:val="24"/>
        </w:rPr>
        <w:t>i</w:t>
      </w:r>
      <w:r>
        <w:rPr>
          <w:rFonts w:ascii="Times New Roman" w:hAnsi="Times New Roman" w:cs="Times New Roman"/>
          <w:color w:val="000000"/>
          <w:sz w:val="24"/>
        </w:rPr>
        <w:t xml:space="preserve"> otpornosti za isplatu avansa za nabavu dva baterijska vlaka. </w:t>
      </w:r>
    </w:p>
    <w:p w:rsidR="004B777F" w:rsidRDefault="0058178D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Prihodi poslovanja ostvareni su u iznosu od 117.259.585 eura, što je 58,6 % plana te su za 84,0 % veći u odnosu na isto razdoblje 2022. godine.</w:t>
      </w:r>
    </w:p>
    <w:p w:rsidR="004B777F" w:rsidRDefault="0058178D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 ukupnim prihodima poslovanja HŽ Putničkog prijevoza najveći udio odnosi se na pomoći proračunu iz drugih proračuna i izvanproračunskim korisnicima što uključuje i Ugovor o javnim uslugama od općeg gospodarskog interesa u javnom željezničkom prijevozu u Republici Hrvatskoj u iznosu od 63.258.696 eura. Pomoći temeljem prijenosa EU sredstava ostvarene su u iznosu od  40.111.353 eura.  </w:t>
      </w:r>
    </w:p>
    <w:p w:rsidR="004B777F" w:rsidRDefault="0058178D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lastRenderedPageBreak/>
        <w:t xml:space="preserve">Pomoći od međunarodnih organizacija te institucija i tijela EU ostvarene su u iznosu od 109.408 eura, a odnose se na bespovratna sredstva iz EU fondova kojima su sufinancirani projekti MIMOSA, YOUMOBILE, ICARUS i REGIAMOBIL. </w:t>
      </w:r>
    </w:p>
    <w:p w:rsidR="004B777F" w:rsidRDefault="0058178D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Ostali prihodi sastoje se od prihoda od financijske imovine ostvarenih u</w:t>
      </w:r>
      <w:r w:rsidR="00FE6A6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iznosu od 39.545 eura, prihoda od nefinancijske imovine u iznosu od 2.031.378 eura (prihodi od zakupa vagona i lokomotiva, naknade šteta od osiguranja, naplaćena potraživanja na ispravku vrijednosti, naplaćeni prihodi po sudskim rješenjima), prihoda od prodaje proizvoda i robe te pruženih usluga u iznosu od 11.709.206 eura (prihodi od prodaje karata u unutarnjem i međunarodnom prijevozu). </w:t>
      </w:r>
    </w:p>
    <w:p w:rsidR="004B777F" w:rsidRDefault="0058178D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Prihodi od prodaje nefinancijske imovine ostvareni su u iznosu od 22.539 eura. </w:t>
      </w:r>
    </w:p>
    <w:p w:rsidR="004B777F" w:rsidRDefault="0058178D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624"/>
        <w:gridCol w:w="1499"/>
        <w:gridCol w:w="1499"/>
        <w:gridCol w:w="1498"/>
        <w:gridCol w:w="937"/>
        <w:gridCol w:w="937"/>
      </w:tblGrid>
      <w:tr w:rsidR="004B777F">
        <w:tc>
          <w:tcPr>
            <w:tcW w:w="14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IZVRŠENJE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2022.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4B777F" w:rsidRDefault="00184F1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IZVORNI PLAN</w:t>
            </w:r>
            <w:r w:rsidR="0058178D">
              <w:rPr>
                <w:rFonts w:ascii="Times New Roman" w:hAnsi="Times New Roman" w:cs="Times New Roman"/>
                <w:b/>
                <w:sz w:val="18"/>
              </w:rPr>
              <w:br/>
              <w:t>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IZVRŠENJE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2023.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4B777F">
        <w:tc>
          <w:tcPr>
            <w:tcW w:w="14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5=4/2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6=4/3</w:t>
            </w:r>
          </w:p>
        </w:tc>
      </w:tr>
      <w:tr w:rsidR="004B777F">
        <w:tc>
          <w:tcPr>
            <w:tcW w:w="1400" w:type="pct"/>
            <w:vAlign w:val="center"/>
          </w:tcPr>
          <w:p w:rsidR="004B777F" w:rsidRDefault="0058178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3 RASHODI POSLOVANJA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40.775.987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91.419.752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46.908.041</w:t>
            </w:r>
          </w:p>
        </w:tc>
        <w:tc>
          <w:tcPr>
            <w:tcW w:w="5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115,0</w:t>
            </w:r>
          </w:p>
        </w:tc>
        <w:tc>
          <w:tcPr>
            <w:tcW w:w="5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51,3</w:t>
            </w:r>
          </w:p>
        </w:tc>
      </w:tr>
      <w:tr w:rsidR="004B777F">
        <w:tc>
          <w:tcPr>
            <w:tcW w:w="1400" w:type="pct"/>
            <w:vAlign w:val="bottom"/>
          </w:tcPr>
          <w:p w:rsidR="004B777F" w:rsidRDefault="0058178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4 RASHODI ZA NABAVU NEFINANCIJSKE IMOVINE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24.174.677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116.244.552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57.056.130</w:t>
            </w:r>
          </w:p>
        </w:tc>
        <w:tc>
          <w:tcPr>
            <w:tcW w:w="5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236,0</w:t>
            </w:r>
          </w:p>
        </w:tc>
        <w:tc>
          <w:tcPr>
            <w:tcW w:w="5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49,1</w:t>
            </w:r>
          </w:p>
        </w:tc>
      </w:tr>
      <w:tr w:rsidR="004B777F">
        <w:tc>
          <w:tcPr>
            <w:tcW w:w="1400" w:type="pct"/>
            <w:vAlign w:val="bottom"/>
          </w:tcPr>
          <w:p w:rsidR="004B777F" w:rsidRDefault="0058178D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64.950.664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207.664.304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103.964.170</w:t>
            </w:r>
          </w:p>
        </w:tc>
        <w:tc>
          <w:tcPr>
            <w:tcW w:w="5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160,1</w:t>
            </w:r>
          </w:p>
        </w:tc>
        <w:tc>
          <w:tcPr>
            <w:tcW w:w="5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50,1</w:t>
            </w:r>
          </w:p>
        </w:tc>
      </w:tr>
    </w:tbl>
    <w:p w:rsidR="004B777F" w:rsidRDefault="004B777F">
      <w:pPr>
        <w:spacing w:after="0" w:line="240" w:lineRule="auto"/>
      </w:pPr>
    </w:p>
    <w:p w:rsidR="004B777F" w:rsidRDefault="0058178D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Ukupni rashodi u prvom polugodištu 2023. godine izvršeni su u iznosu od 103.964.170 eura te čine 50,1 % godišnjeg plana, a za 60,1 % su veći u odnosu na isto razdoblje 2022. godine. Naime, u prvom polugodištu 2023. godine plaćeno je 8 elektromotornih vlakova te je isplaćen avans za dva baterijska vlaka.</w:t>
      </w:r>
    </w:p>
    <w:p w:rsidR="004B777F" w:rsidRDefault="0058178D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Rashodi poslovanja izvršeni su u iznosu od  46.908.041 euro i čine 51,3 % plana te su za 15,0 % veći u odnosu na isto razdoblje 2022. godine. </w:t>
      </w:r>
    </w:p>
    <w:p w:rsidR="004B777F" w:rsidRDefault="0058178D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Rashodi za zaposlene izvršeni su u iznosu od 17.822.785 eura, a čine ih bruto plaće u iznosu od 13.809.566 eura, doprinosi za mirovinsko i zdravstveno osiguranje u iznosu od 2.716.987 eura i ostali rashodi za zaposlene u iznosu od 1.296.233 eura.</w:t>
      </w:r>
    </w:p>
    <w:p w:rsidR="004B777F" w:rsidRDefault="0058178D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Materijalni rashodi izvršeni su u iznosu od 27.373.572 eura i odnose se na naknade troškova zaposlenima u iznosu od 1.362.075 eura, rashode za materijal i energiju u iznosu od 8.046.933 eura, rashode za usluge u iznosu od 16.659.559 eura, naknade troškova osobama izvan radnog odnosa u iznosu od 35.029 eura i ostale nespomenute rashode poslovanja u iznosu od 1.269.976 eura.</w:t>
      </w:r>
    </w:p>
    <w:p w:rsidR="004B777F" w:rsidRDefault="0058178D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Financijski rashodi izvršeni su u iznosu od 1.159.161 euro, a odnose se na kamate za primljene kredite i zajmove u iznosu od 1.056.083 eura i ostale financijske rashode u iznosu od 103.077 eura. </w:t>
      </w:r>
    </w:p>
    <w:p w:rsidR="004B777F" w:rsidRDefault="0058178D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Ostali rashodi izvršeni su u iznosu od 552.522 eura, od čega se najveći dio odnosi na naknade šteta pravnim i fizičkim osobama.</w:t>
      </w:r>
    </w:p>
    <w:p w:rsidR="004B777F" w:rsidRDefault="0058178D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Rashodi za nabavu nefinancijske imovine izvršeni su u iznosu 57.056.130 eura, a čine ih:</w:t>
      </w:r>
    </w:p>
    <w:p w:rsidR="004B777F" w:rsidRDefault="0058178D">
      <w:pPr>
        <w:spacing w:line="240" w:lineRule="auto"/>
        <w:ind w:left="1080" w:hanging="360"/>
        <w:jc w:val="both"/>
      </w:pPr>
      <w:r>
        <w:rPr>
          <w:rFonts w:ascii="Times New Roman" w:hAnsi="Times New Roman" w:cs="Times New Roman"/>
          <w:sz w:val="24"/>
        </w:rPr>
        <w:t>-    rashodi za nabavu proizvedene dugotrajne imovine u iznosu od 56.408.038 eura, od čega se 51.712 eura odnosi na prijevozna sredstva u cestovnom prometu, 55.555.281 euro na prijevozna sredstva u željezničkom prometu i 801.045 eura na ulaganja u računalne programe </w:t>
      </w:r>
    </w:p>
    <w:p w:rsidR="004B777F" w:rsidRDefault="0058178D">
      <w:pPr>
        <w:spacing w:line="240" w:lineRule="auto"/>
        <w:ind w:left="1080" w:hanging="360"/>
        <w:jc w:val="both"/>
      </w:pPr>
      <w:r>
        <w:rPr>
          <w:rFonts w:ascii="Times New Roman" w:hAnsi="Times New Roman" w:cs="Times New Roman"/>
          <w:sz w:val="24"/>
        </w:rPr>
        <w:lastRenderedPageBreak/>
        <w:t>-</w:t>
      </w:r>
      <w:r>
        <w:rPr>
          <w:rFonts w:ascii="Times New Roman" w:hAnsi="Times New Roman" w:cs="Times New Roman"/>
          <w:color w:val="FF0000"/>
          <w:sz w:val="24"/>
        </w:rPr>
        <w:t>     </w:t>
      </w:r>
      <w:r>
        <w:rPr>
          <w:rFonts w:ascii="Times New Roman" w:hAnsi="Times New Roman" w:cs="Times New Roman"/>
          <w:sz w:val="24"/>
        </w:rPr>
        <w:t>rashodi za dodatna ulaganja na nefinancijskoj imovini u iznosu od 648.092 eura, od čega se 635.621 euro odnosi na ulaganja u prijevozna sredstva, a 12.471 euro na ulaganja u ostalu nefinancijsku imovinu.</w:t>
      </w:r>
    </w:p>
    <w:p w:rsidR="004B777F" w:rsidRDefault="0058178D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Rashodi za nabavu nefinancijske imovine veći </w:t>
      </w:r>
      <w:r w:rsidR="00E23897">
        <w:rPr>
          <w:rFonts w:ascii="Times New Roman" w:hAnsi="Times New Roman" w:cs="Times New Roman"/>
          <w:sz w:val="24"/>
        </w:rPr>
        <w:t xml:space="preserve">su </w:t>
      </w:r>
      <w:r>
        <w:rPr>
          <w:rFonts w:ascii="Times New Roman" w:hAnsi="Times New Roman" w:cs="Times New Roman"/>
          <w:sz w:val="24"/>
        </w:rPr>
        <w:t xml:space="preserve">za </w:t>
      </w:r>
      <w:r w:rsidR="00B22EC2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36,0 % u odnosu na isto razdoblje prošle godine zbog plaćanja 8 elektromotornih vlakova te isplate avansa za dva baterijska vlaka.</w:t>
      </w:r>
    </w:p>
    <w:p w:rsidR="004B777F" w:rsidRDefault="0058178D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Nabava novih motornih vlakova prioritet je HŽ Putničkog prijevoza s obzirom da je postojeći vozni park prosječno star više od 40 godina i neadekvatan za pružanje kvalitetne usluge, izuzev 52 nova motorna vlaka (12 elektromotornih vlakova starosti do godinu dana, 12 elektromotornih vlakova starosti do 2 godine, 20 elektromotornih vlakova starosti do 8 godina, 5 dizel-električnih vlakova starosti od 4 do 7 godina te 3 prototipa starosti do 12 godina). </w:t>
      </w:r>
    </w:p>
    <w:p w:rsidR="004B777F" w:rsidRDefault="0058178D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 prvom polugodištu 2023. godine isporučeno je osam (8) elektromotornih vlakova financiranih iz Operativnog programa Konkurentnost i kohezija 2014.-2020. godine.</w:t>
      </w:r>
      <w:r>
        <w:rPr>
          <w:rFonts w:ascii="Times New Roman" w:hAnsi="Times New Roman" w:cs="Times New Roman"/>
          <w:color w:val="FF0000"/>
          <w:sz w:val="24"/>
        </w:rPr>
        <w:t xml:space="preserve"> </w:t>
      </w:r>
    </w:p>
    <w:p w:rsidR="004B777F" w:rsidRDefault="0058178D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Nabavom novih motornih vlakova ostvaruje se važan iskorak u povećanju sigurnosti i postizanju konkurentnosti na prijevoznom tržištu, što uz ostale investicije znatno pridonosi ostvarenju utvrđenih strateških ciljeva. </w:t>
      </w:r>
    </w:p>
    <w:p w:rsidR="004B777F" w:rsidRDefault="0058178D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RAČUN FINANCIRANJA</w:t>
      </w:r>
    </w:p>
    <w:p w:rsidR="004B777F" w:rsidRDefault="0058178D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t>Račun prihoda i rashoda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497"/>
        <w:gridCol w:w="1799"/>
        <w:gridCol w:w="1799"/>
        <w:gridCol w:w="899"/>
      </w:tblGrid>
      <w:tr w:rsidR="004B777F">
        <w:tc>
          <w:tcPr>
            <w:tcW w:w="25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4B777F" w:rsidRDefault="00184F1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IZVORNI PLAN</w:t>
            </w:r>
            <w:r w:rsidR="0058178D">
              <w:rPr>
                <w:rFonts w:ascii="Times New Roman" w:hAnsi="Times New Roman" w:cs="Times New Roman"/>
                <w:b/>
                <w:sz w:val="18"/>
              </w:rPr>
              <w:br/>
              <w:t>2023.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OSTVARENJE/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IZVRŠENJE 1.-6.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4B777F">
        <w:tc>
          <w:tcPr>
            <w:tcW w:w="25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4=3/2</w:t>
            </w:r>
          </w:p>
        </w:tc>
      </w:tr>
      <w:tr w:rsidR="004B777F">
        <w:tc>
          <w:tcPr>
            <w:tcW w:w="2500" w:type="pct"/>
            <w:vAlign w:val="center"/>
          </w:tcPr>
          <w:p w:rsidR="004B777F" w:rsidRDefault="0058178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UKUPNI PRIHODI</w:t>
            </w:r>
          </w:p>
        </w:tc>
        <w:tc>
          <w:tcPr>
            <w:tcW w:w="10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199.979.654</w:t>
            </w:r>
          </w:p>
        </w:tc>
        <w:tc>
          <w:tcPr>
            <w:tcW w:w="10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117.282.124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58,6</w:t>
            </w:r>
          </w:p>
        </w:tc>
      </w:tr>
      <w:tr w:rsidR="004B777F">
        <w:tc>
          <w:tcPr>
            <w:tcW w:w="2500" w:type="pct"/>
            <w:vAlign w:val="bottom"/>
          </w:tcPr>
          <w:p w:rsidR="004B777F" w:rsidRDefault="0058178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UKUPNI RASHODI</w:t>
            </w:r>
          </w:p>
        </w:tc>
        <w:tc>
          <w:tcPr>
            <w:tcW w:w="10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207.664.304</w:t>
            </w:r>
          </w:p>
        </w:tc>
        <w:tc>
          <w:tcPr>
            <w:tcW w:w="10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103.964.170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50,1</w:t>
            </w:r>
          </w:p>
        </w:tc>
      </w:tr>
      <w:tr w:rsidR="004B777F">
        <w:tc>
          <w:tcPr>
            <w:tcW w:w="2500" w:type="pct"/>
            <w:vAlign w:val="bottom"/>
          </w:tcPr>
          <w:p w:rsidR="004B777F" w:rsidRDefault="0058178D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RAZLIKA - VIŠAK/MANJAK</w:t>
            </w:r>
          </w:p>
        </w:tc>
        <w:tc>
          <w:tcPr>
            <w:tcW w:w="10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-7.684.650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13.317.954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-173,3</w:t>
            </w:r>
          </w:p>
        </w:tc>
      </w:tr>
    </w:tbl>
    <w:p w:rsidR="004B777F" w:rsidRDefault="004B777F">
      <w:pPr>
        <w:spacing w:after="0" w:line="240" w:lineRule="auto"/>
      </w:pPr>
    </w:p>
    <w:p w:rsidR="004B777F" w:rsidRDefault="0058178D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497"/>
        <w:gridCol w:w="1799"/>
        <w:gridCol w:w="1799"/>
        <w:gridCol w:w="899"/>
      </w:tblGrid>
      <w:tr w:rsidR="004B777F">
        <w:tc>
          <w:tcPr>
            <w:tcW w:w="25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4B777F" w:rsidRDefault="00184F1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IZVORNI PLAN</w:t>
            </w:r>
            <w:r w:rsidR="0058178D">
              <w:rPr>
                <w:rFonts w:ascii="Times New Roman" w:hAnsi="Times New Roman" w:cs="Times New Roman"/>
                <w:b/>
                <w:sz w:val="18"/>
              </w:rPr>
              <w:br/>
              <w:t>2023.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OSTVARENJE/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IZVRŠENJE 1.-6.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4B777F">
        <w:tc>
          <w:tcPr>
            <w:tcW w:w="25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4B777F" w:rsidRDefault="005817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4=3/2</w:t>
            </w:r>
          </w:p>
        </w:tc>
      </w:tr>
      <w:tr w:rsidR="004B777F">
        <w:tc>
          <w:tcPr>
            <w:tcW w:w="2500" w:type="pct"/>
            <w:vAlign w:val="center"/>
          </w:tcPr>
          <w:p w:rsidR="004B777F" w:rsidRDefault="0058178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8 PRIMICI OD FINANCIJSKE IMOVINE I ZADUŽIVANJA</w:t>
            </w:r>
          </w:p>
        </w:tc>
        <w:tc>
          <w:tcPr>
            <w:tcW w:w="10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14.425.057</w:t>
            </w:r>
          </w:p>
        </w:tc>
        <w:tc>
          <w:tcPr>
            <w:tcW w:w="10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9.696.178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67,2</w:t>
            </w:r>
          </w:p>
        </w:tc>
      </w:tr>
      <w:tr w:rsidR="004B777F">
        <w:tc>
          <w:tcPr>
            <w:tcW w:w="2500" w:type="pct"/>
            <w:vAlign w:val="bottom"/>
          </w:tcPr>
          <w:p w:rsidR="004B777F" w:rsidRDefault="0058178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5 IZDACI ZA FINANCIJSKU IMOVINU I OTPLATE ZAJMOVA</w:t>
            </w:r>
          </w:p>
        </w:tc>
        <w:tc>
          <w:tcPr>
            <w:tcW w:w="10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7.047.581</w:t>
            </w:r>
          </w:p>
        </w:tc>
        <w:tc>
          <w:tcPr>
            <w:tcW w:w="10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2.541.981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36,1</w:t>
            </w:r>
          </w:p>
        </w:tc>
      </w:tr>
      <w:tr w:rsidR="004B777F">
        <w:tc>
          <w:tcPr>
            <w:tcW w:w="2500" w:type="pct"/>
            <w:vAlign w:val="bottom"/>
          </w:tcPr>
          <w:p w:rsidR="004B777F" w:rsidRDefault="0058178D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RAZLIKA PRIMITAKA I IZDATAKA</w:t>
            </w:r>
          </w:p>
        </w:tc>
        <w:tc>
          <w:tcPr>
            <w:tcW w:w="10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7.377.476</w:t>
            </w:r>
          </w:p>
        </w:tc>
        <w:tc>
          <w:tcPr>
            <w:tcW w:w="10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7.154.197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97,0</w:t>
            </w:r>
          </w:p>
        </w:tc>
      </w:tr>
      <w:tr w:rsidR="004B777F">
        <w:tc>
          <w:tcPr>
            <w:tcW w:w="2500" w:type="pct"/>
            <w:vAlign w:val="bottom"/>
          </w:tcPr>
          <w:p w:rsidR="004B777F" w:rsidRDefault="0058178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PRIJENOS SREDSTAVA IZ PRETHODNE GODINE</w:t>
            </w:r>
          </w:p>
        </w:tc>
        <w:tc>
          <w:tcPr>
            <w:tcW w:w="10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307.174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3.353.321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1091,7</w:t>
            </w:r>
          </w:p>
        </w:tc>
      </w:tr>
      <w:tr w:rsidR="004B777F">
        <w:tc>
          <w:tcPr>
            <w:tcW w:w="2500" w:type="pct"/>
            <w:vAlign w:val="bottom"/>
          </w:tcPr>
          <w:p w:rsidR="004B777F" w:rsidRDefault="0058178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PRIJENOS SREDSTAVA U SLJEDEĆE RAZDOBLJE</w:t>
            </w:r>
          </w:p>
        </w:tc>
        <w:tc>
          <w:tcPr>
            <w:tcW w:w="10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-23.825.471</w:t>
            </w:r>
          </w:p>
        </w:tc>
        <w:tc>
          <w:tcPr>
            <w:tcW w:w="800" w:type="pct"/>
            <w:vAlign w:val="bottom"/>
          </w:tcPr>
          <w:p w:rsidR="004B777F" w:rsidRDefault="004B777F">
            <w:pPr>
              <w:spacing w:after="0" w:line="240" w:lineRule="auto"/>
              <w:jc w:val="right"/>
            </w:pPr>
          </w:p>
        </w:tc>
      </w:tr>
      <w:tr w:rsidR="004B777F">
        <w:tc>
          <w:tcPr>
            <w:tcW w:w="2500" w:type="pct"/>
            <w:vAlign w:val="bottom"/>
          </w:tcPr>
          <w:p w:rsidR="004B777F" w:rsidRDefault="0058178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NETO FINANCIRANJE</w:t>
            </w:r>
          </w:p>
        </w:tc>
        <w:tc>
          <w:tcPr>
            <w:tcW w:w="10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7.684.650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-13.317.954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-173,3</w:t>
            </w:r>
          </w:p>
        </w:tc>
      </w:tr>
      <w:tr w:rsidR="004B777F">
        <w:tc>
          <w:tcPr>
            <w:tcW w:w="2500" w:type="pct"/>
            <w:vAlign w:val="bottom"/>
          </w:tcPr>
          <w:p w:rsidR="004B777F" w:rsidRDefault="0058178D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VIŠAK/MANJAK + NETO FINANCIRANJE</w:t>
            </w:r>
          </w:p>
        </w:tc>
        <w:tc>
          <w:tcPr>
            <w:tcW w:w="10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4B777F" w:rsidRDefault="0058178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4B777F" w:rsidRDefault="004B777F">
            <w:pPr>
              <w:spacing w:after="0" w:line="240" w:lineRule="auto"/>
              <w:jc w:val="right"/>
            </w:pPr>
          </w:p>
        </w:tc>
      </w:tr>
    </w:tbl>
    <w:p w:rsidR="004B777F" w:rsidRDefault="004B777F">
      <w:pPr>
        <w:spacing w:after="0" w:line="240" w:lineRule="auto"/>
      </w:pPr>
    </w:p>
    <w:p w:rsidR="004B777F" w:rsidRDefault="0058178D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Ostvareni prihodi i rashodi rezultirali su viškom od 13.317.954 eura.</w:t>
      </w:r>
    </w:p>
    <w:p w:rsidR="004B777F" w:rsidRDefault="0058178D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Zbog nedostatka vlastitih sredstava u prethodnim godinama bilo je nužno angažiranje kreditnih sredstava za nabavu novih vlakova, što je rezultiralo povećanjem obveza za otplatu glavnice.</w:t>
      </w:r>
    </w:p>
    <w:p w:rsidR="004B777F" w:rsidRDefault="0058178D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lastRenderedPageBreak/>
        <w:t xml:space="preserve">Primici od financijske imovine i zaduživanja iznose 9.696.178 eura i odnose se na povlačenja sredstava po kreditima EUROFIMA-e i HBOR-a za nabavu novih motornih vlakova te IBRD zajma koji uključuje nabavu 5 novih vlakova, ulaganja u postojeći vozni park, IT ulaganja i konzultantske usluge. </w:t>
      </w:r>
    </w:p>
    <w:p w:rsidR="004B777F" w:rsidRDefault="0058178D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Izdaci za otplatu glavnice primljenih kredita i zajmova (EUROFIMA-e, IBRD-a i HBOR-a) izvršeni su u iznosu od 2.541.981 euro. </w:t>
      </w:r>
    </w:p>
    <w:p w:rsidR="004B777F" w:rsidRDefault="0058178D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Prijenos sredstava u sljedeće razdoblje iznosi 23.825.471 euro. Naime, u lipnju je uplaćen avans temeljem Ugovora o javnim uslugama od općeg gospodarskog interesa u javnom željezničkom prijevozu u Republici Hrvatskoj (Tekuće pomoći proračunu iz drugih proračuna i izvanproračunskim korisnicima) za 3. kvartal u iznosu 20.717.560 eura.</w:t>
      </w:r>
    </w:p>
    <w:p w:rsidR="004B777F" w:rsidRDefault="0058178D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8"/>
        </w:rPr>
        <w:br/>
        <w:t>IZVJEŠTAJ O ZADUŽIVANJU NA DOMAĆEM I STRANOM TRŽIŠTU NOVCA I KAPITALA</w:t>
      </w:r>
    </w:p>
    <w:p w:rsidR="004B777F" w:rsidRDefault="0058178D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Ugovor o predfinanciranju i najmu EFI br. 20196 zaključen je 10.</w:t>
      </w:r>
      <w:r w:rsidR="006566A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veljače 2023. godine s EUROFIMA-om na iznos 31.000.000 eura uz 100%-tno državno jamstvo temeljem Ugovora o reguliranju obveza i odgovornosti u svrhu redovite otplate financijskih sredstava. Rok otplate kredita je 15 godina uz fiksnu kamatnu stopu od 3,33% koja se plaća uz polugodišnju otplatu.</w:t>
      </w:r>
    </w:p>
    <w:p w:rsidR="004B777F" w:rsidRDefault="0058178D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Namjena je nabava 7 dizel-električnih motornih vlakova. </w:t>
      </w:r>
    </w:p>
    <w:p w:rsidR="004B777F" w:rsidRDefault="0058178D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8"/>
        </w:rPr>
        <w:br/>
        <w:t xml:space="preserve">IZVJEŠTAJ O DANIM JAMSTVIMA I PLAĆANJIMA PO PROTESTIRANIM JAMSTVIMA </w:t>
      </w:r>
    </w:p>
    <w:p w:rsidR="004B777F" w:rsidRDefault="0058178D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HŽ Putnički prijevoz u izvještajnom razdoblju nije davao jamstva niti je imao izvršenih plaćanja po protestiranim jamstvima.</w:t>
      </w:r>
    </w:p>
    <w:sectPr w:rsidR="004B777F" w:rsidSect="00C7631D">
      <w:footerReference w:type="default" r:id="rId6"/>
      <w:pgSz w:w="11906" w:h="16838" w:code="9"/>
      <w:pgMar w:top="1417" w:right="1417" w:bottom="1417" w:left="1417" w:header="720" w:footer="720" w:gutter="0"/>
      <w:pgNumType w:start="8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31D" w:rsidRDefault="00C7631D" w:rsidP="00C7631D">
      <w:pPr>
        <w:spacing w:after="0" w:line="240" w:lineRule="auto"/>
      </w:pPr>
      <w:r>
        <w:separator/>
      </w:r>
    </w:p>
  </w:endnote>
  <w:endnote w:type="continuationSeparator" w:id="0">
    <w:p w:rsidR="00C7631D" w:rsidRDefault="00C7631D" w:rsidP="00C76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589994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7631D" w:rsidRPr="00C7631D" w:rsidRDefault="00C7631D">
        <w:pPr>
          <w:pStyle w:val="Podnoj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7631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7631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7631D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C7631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7631D" w:rsidRDefault="00C763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31D" w:rsidRDefault="00C7631D" w:rsidP="00C7631D">
      <w:pPr>
        <w:spacing w:after="0" w:line="240" w:lineRule="auto"/>
      </w:pPr>
      <w:r>
        <w:separator/>
      </w:r>
    </w:p>
  </w:footnote>
  <w:footnote w:type="continuationSeparator" w:id="0">
    <w:p w:rsidR="00C7631D" w:rsidRDefault="00C7631D" w:rsidP="00C763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B777F"/>
    <w:rsid w:val="00184F1E"/>
    <w:rsid w:val="002C73F0"/>
    <w:rsid w:val="00484C86"/>
    <w:rsid w:val="004B777F"/>
    <w:rsid w:val="0051139B"/>
    <w:rsid w:val="0058178D"/>
    <w:rsid w:val="006566AF"/>
    <w:rsid w:val="007B2850"/>
    <w:rsid w:val="008A0444"/>
    <w:rsid w:val="009902B1"/>
    <w:rsid w:val="00B22EC2"/>
    <w:rsid w:val="00C7631D"/>
    <w:rsid w:val="00E23897"/>
    <w:rsid w:val="00ED177D"/>
    <w:rsid w:val="00FE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D62AB3-2339-4E50-91D1-183D49C8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76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7631D"/>
  </w:style>
  <w:style w:type="paragraph" w:styleId="Podnoje">
    <w:name w:val="footer"/>
    <w:basedOn w:val="Normal"/>
    <w:link w:val="PodnojeChar"/>
    <w:uiPriority w:val="99"/>
    <w:unhideWhenUsed/>
    <w:rsid w:val="00C76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7631D"/>
  </w:style>
  <w:style w:type="paragraph" w:styleId="Tekstbalonia">
    <w:name w:val="Balloon Text"/>
    <w:basedOn w:val="Normal"/>
    <w:link w:val="TekstbaloniaChar"/>
    <w:uiPriority w:val="99"/>
    <w:semiHidden/>
    <w:unhideWhenUsed/>
    <w:rsid w:val="00C763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763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1369</Words>
  <Characters>7807</Characters>
  <Application>Microsoft Office Word</Application>
  <DocSecurity>0</DocSecurity>
  <Lines>65</Lines>
  <Paragraphs>18</Paragraphs>
  <ScaleCrop>false</ScaleCrop>
  <Company/>
  <LinksUpToDate>false</LinksUpToDate>
  <CharactersWithSpaces>9158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Mirela Kovač Jagar</cp:lastModifiedBy>
  <cp:revision>15</cp:revision>
  <cp:lastPrinted>2023-09-14T11:10:00Z</cp:lastPrinted>
  <dcterms:created xsi:type="dcterms:W3CDTF">2023-08-29T12:45:00Z</dcterms:created>
  <dcterms:modified xsi:type="dcterms:W3CDTF">2023-09-14T11:10:00Z</dcterms:modified>
</cp:coreProperties>
</file>