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A9" w:rsidRDefault="00A22D33" w:rsidP="004717A9">
      <w:pPr>
        <w:ind w:left="360"/>
        <w:jc w:val="center"/>
        <w:rPr>
          <w:szCs w:val="28"/>
        </w:rPr>
      </w:pPr>
      <w:r>
        <w:rPr>
          <w:b/>
        </w:rPr>
        <w:t xml:space="preserve">4.2. </w:t>
      </w:r>
      <w:r w:rsidR="004717A9" w:rsidRPr="00916C4B">
        <w:rPr>
          <w:b/>
        </w:rPr>
        <w:t xml:space="preserve">IZVJEŠTAJ O ZADUŽIVANJU NA DOMAĆEM I STRANOM TRŽIŠTU NOVCA I KAPITALA </w:t>
      </w:r>
      <w:r>
        <w:rPr>
          <w:b/>
        </w:rPr>
        <w:t>ZA</w:t>
      </w:r>
      <w:r w:rsidR="004717A9" w:rsidRPr="00916C4B">
        <w:rPr>
          <w:b/>
        </w:rPr>
        <w:t xml:space="preserve"> </w:t>
      </w:r>
      <w:r>
        <w:rPr>
          <w:b/>
          <w:bCs/>
        </w:rPr>
        <w:t>PRVO POLUGODIŠTE</w:t>
      </w:r>
      <w:r w:rsidR="004717A9" w:rsidRPr="00916C4B">
        <w:rPr>
          <w:b/>
          <w:bCs/>
        </w:rPr>
        <w:t xml:space="preserve"> 202</w:t>
      </w:r>
      <w:r w:rsidR="004717A9">
        <w:rPr>
          <w:b/>
          <w:bCs/>
        </w:rPr>
        <w:t>3</w:t>
      </w:r>
      <w:r w:rsidR="004717A9" w:rsidRPr="00916C4B">
        <w:rPr>
          <w:b/>
          <w:bCs/>
        </w:rPr>
        <w:t>. GODINE</w:t>
      </w:r>
    </w:p>
    <w:p w:rsidR="004717A9" w:rsidRPr="00916C4B" w:rsidRDefault="004717A9" w:rsidP="004717A9">
      <w:pPr>
        <w:tabs>
          <w:tab w:val="left" w:pos="0"/>
        </w:tabs>
        <w:spacing w:line="360" w:lineRule="auto"/>
        <w:jc w:val="center"/>
        <w:rPr>
          <w:b/>
        </w:rPr>
      </w:pPr>
    </w:p>
    <w:p w:rsidR="004717A9" w:rsidRDefault="004717A9" w:rsidP="004717A9">
      <w:pPr>
        <w:pStyle w:val="Uvuenotijeloteksta"/>
        <w:ind w:firstLine="0"/>
      </w:pPr>
      <w:r w:rsidRPr="00916C4B">
        <w:t xml:space="preserve">Hrvatski sabor je sukladno članku </w:t>
      </w:r>
      <w:r>
        <w:t>47</w:t>
      </w:r>
      <w:r w:rsidRPr="00916C4B">
        <w:t>. Zakona o izvršavanju Državnog proračuna Republike Hrvatske za 202</w:t>
      </w:r>
      <w:r>
        <w:t>3</w:t>
      </w:r>
      <w:r w:rsidRPr="00916C4B">
        <w:t xml:space="preserve">. godinu (Narodne novine, broj </w:t>
      </w:r>
      <w:r>
        <w:t>145/2022, 63/2023)</w:t>
      </w:r>
      <w:r w:rsidRPr="00916C4B">
        <w:t xml:space="preserve"> ovlastio Ministarstvo financija Republike Hrvatske</w:t>
      </w:r>
      <w:r>
        <w:t>,</w:t>
      </w:r>
      <w:r w:rsidRPr="00916C4B">
        <w:t xml:space="preserve"> da se u ime Republike Hrvatske može zadužiti na domaćem i inozemnom tržištu novca i kapitala do ukupnog iznosa od </w:t>
      </w:r>
      <w:r>
        <w:t>5.906.828.484,00 eura</w:t>
      </w:r>
      <w:r w:rsidRPr="00916C4B">
        <w:t xml:space="preserve">. </w:t>
      </w:r>
    </w:p>
    <w:p w:rsidR="004717A9" w:rsidRPr="00916C4B" w:rsidRDefault="004717A9" w:rsidP="004717A9">
      <w:pPr>
        <w:pStyle w:val="Uvuenotijeloteksta"/>
        <w:ind w:firstLine="0"/>
      </w:pPr>
    </w:p>
    <w:p w:rsidR="004717A9" w:rsidRPr="00916C4B" w:rsidRDefault="004717A9" w:rsidP="004717A9">
      <w:pPr>
        <w:pStyle w:val="Odlomakpopisa"/>
        <w:numPr>
          <w:ilvl w:val="0"/>
          <w:numId w:val="1"/>
        </w:numPr>
        <w:rPr>
          <w:b/>
          <w:i/>
        </w:rPr>
      </w:pPr>
      <w:r w:rsidRPr="00916C4B">
        <w:rPr>
          <w:b/>
          <w:i/>
        </w:rPr>
        <w:t xml:space="preserve">Obveznice uz plasman na domaćem tržištu kapitala </w:t>
      </w:r>
    </w:p>
    <w:p w:rsidR="004717A9" w:rsidRPr="00916C4B" w:rsidRDefault="004717A9" w:rsidP="004717A9">
      <w:pPr>
        <w:pStyle w:val="Odlomakpopisa"/>
        <w:rPr>
          <w:b/>
          <w:i/>
        </w:rPr>
      </w:pPr>
    </w:p>
    <w:p w:rsidR="004717A9" w:rsidRDefault="004717A9" w:rsidP="004717A9">
      <w:pPr>
        <w:jc w:val="both"/>
      </w:pPr>
      <w:r w:rsidRPr="00916C4B">
        <w:t>Republ</w:t>
      </w:r>
      <w:r>
        <w:t>ika Hrvatska zastupana po Ministarstvu financija je</w:t>
      </w:r>
      <w:r w:rsidRPr="00916C4B">
        <w:t xml:space="preserve"> </w:t>
      </w:r>
      <w:r>
        <w:t>6. ožujka</w:t>
      </w:r>
      <w:r w:rsidRPr="00916C4B">
        <w:t xml:space="preserve"> 202</w:t>
      </w:r>
      <w:r>
        <w:t>3</w:t>
      </w:r>
      <w:r w:rsidRPr="00916C4B">
        <w:t>.</w:t>
      </w:r>
      <w:r>
        <w:t xml:space="preserve"> </w:t>
      </w:r>
      <w:r w:rsidRPr="00916C4B">
        <w:t xml:space="preserve">godine </w:t>
      </w:r>
      <w:r>
        <w:t xml:space="preserve">donijela odluku o izdanju obveznica </w:t>
      </w:r>
      <w:r w:rsidRPr="00916C4B">
        <w:t xml:space="preserve">uz plasman na domaćem tržištu </w:t>
      </w:r>
      <w:r>
        <w:t>kapitala u iznosu 1,85 milijarde eura</w:t>
      </w:r>
      <w:r w:rsidRPr="00916C4B">
        <w:t>.</w:t>
      </w:r>
      <w:r>
        <w:t xml:space="preserve"> Obveznice su izdane po cijeni 100,00% nominalnog iznosa </w:t>
      </w:r>
      <w:r w:rsidRPr="00916C4B">
        <w:t xml:space="preserve">uz </w:t>
      </w:r>
      <w:r>
        <w:t>nepromjenjivi kamatni kupon od 3</w:t>
      </w:r>
      <w:r w:rsidRPr="00916C4B">
        <w:t>,</w:t>
      </w:r>
      <w:r>
        <w:t>6</w:t>
      </w:r>
      <w:r w:rsidRPr="00916C4B">
        <w:t>5%</w:t>
      </w:r>
      <w:r w:rsidRPr="00916C4B">
        <w:rPr>
          <w:b/>
        </w:rPr>
        <w:t xml:space="preserve"> </w:t>
      </w:r>
      <w:r>
        <w:t xml:space="preserve">godišnje. Kamatni kupon isplaćivat će se godišnje. Datum izdanja, odnosno uvrštenja obveznica u usluge </w:t>
      </w:r>
      <w:proofErr w:type="spellStart"/>
      <w:r>
        <w:t>depozitorija</w:t>
      </w:r>
      <w:proofErr w:type="spellEnd"/>
      <w:r>
        <w:t xml:space="preserve">, poravnanja i namire Središnjeg klirinškog depozitarnog društva d.d. je 8. ožujka 2023., a dospijeće obveznica je 8. ožujka 2025. godine. </w:t>
      </w:r>
      <w:r w:rsidRPr="00916C4B">
        <w:t xml:space="preserve">Sredstva </w:t>
      </w:r>
      <w:r>
        <w:t>prikupljena</w:t>
      </w:r>
      <w:r w:rsidRPr="00916C4B">
        <w:t xml:space="preserve"> ovim </w:t>
      </w:r>
      <w:r>
        <w:t xml:space="preserve">izdanjem upotrijebljena su primarno za </w:t>
      </w:r>
      <w:r w:rsidRPr="00916C4B">
        <w:t>otplatu</w:t>
      </w:r>
      <w:r>
        <w:t xml:space="preserve"> međunarodnih obveznica</w:t>
      </w:r>
      <w:r w:rsidRPr="00916C4B">
        <w:t xml:space="preserve"> iznosa</w:t>
      </w:r>
      <w:r>
        <w:t xml:space="preserve"> 1,5 milijarde dolara (</w:t>
      </w:r>
      <w:proofErr w:type="spellStart"/>
      <w:r>
        <w:t>swap</w:t>
      </w:r>
      <w:proofErr w:type="spellEnd"/>
      <w:r>
        <w:t>), dospijeća 4. travnja 2023. te za financiranje općih potreba državnog proračuna.</w:t>
      </w:r>
    </w:p>
    <w:p w:rsidR="004717A9" w:rsidRDefault="004717A9" w:rsidP="004717A9">
      <w:pPr>
        <w:jc w:val="both"/>
      </w:pPr>
    </w:p>
    <w:p w:rsidR="004717A9" w:rsidRDefault="004717A9" w:rsidP="004717A9">
      <w:pPr>
        <w:keepNext/>
        <w:spacing w:after="120"/>
        <w:jc w:val="both"/>
        <w:rPr>
          <w:i/>
        </w:rPr>
      </w:pPr>
      <w:r w:rsidRPr="00916C4B">
        <w:rPr>
          <w:i/>
        </w:rPr>
        <w:t>Tablica 1. Pregled aktivnih domaćih obveznica Republike Hrvatske, 30. lipnja 202</w:t>
      </w:r>
      <w:r>
        <w:rPr>
          <w:i/>
        </w:rPr>
        <w:t>3</w:t>
      </w:r>
      <w:r w:rsidRPr="00916C4B">
        <w:rPr>
          <w:i/>
        </w:rPr>
        <w:t>.</w:t>
      </w:r>
    </w:p>
    <w:p w:rsidR="004717A9" w:rsidRDefault="004717A9" w:rsidP="004717A9">
      <w:pPr>
        <w:keepNext/>
        <w:jc w:val="center"/>
        <w:rPr>
          <w:i/>
        </w:rPr>
      </w:pPr>
      <w:r w:rsidRPr="00753179">
        <w:rPr>
          <w:noProof/>
        </w:rPr>
        <w:drawing>
          <wp:inline distT="0" distB="0" distL="0" distR="0" wp14:anchorId="6C96671B" wp14:editId="60FE6EFE">
            <wp:extent cx="5760720" cy="3940542"/>
            <wp:effectExtent l="0" t="0" r="0" b="317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4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7A9" w:rsidRPr="00753179" w:rsidRDefault="004717A9" w:rsidP="004717A9">
      <w:pPr>
        <w:jc w:val="both"/>
        <w:rPr>
          <w:i/>
        </w:rPr>
      </w:pPr>
      <w:r w:rsidRPr="00753179">
        <w:rPr>
          <w:i/>
        </w:rPr>
        <w:t>* izdanje u kunama</w:t>
      </w:r>
    </w:p>
    <w:p w:rsidR="004717A9" w:rsidRPr="00753179" w:rsidRDefault="004717A9" w:rsidP="004717A9">
      <w:pPr>
        <w:jc w:val="both"/>
        <w:rPr>
          <w:i/>
        </w:rPr>
      </w:pPr>
      <w:r w:rsidRPr="00753179">
        <w:rPr>
          <w:i/>
        </w:rPr>
        <w:t>Izvor: Ministarstvo financija</w:t>
      </w:r>
    </w:p>
    <w:p w:rsidR="004717A9" w:rsidRDefault="004717A9" w:rsidP="004717A9">
      <w:pPr>
        <w:jc w:val="both"/>
        <w:rPr>
          <w:i/>
        </w:rPr>
      </w:pPr>
    </w:p>
    <w:p w:rsidR="004717A9" w:rsidRPr="00916C4B" w:rsidRDefault="004717A9" w:rsidP="004717A9">
      <w:pPr>
        <w:jc w:val="both"/>
      </w:pPr>
      <w:r w:rsidRPr="00916C4B">
        <w:t>U tablici 1. dan je prikaz aktivnih obveznica</w:t>
      </w:r>
      <w:r>
        <w:t xml:space="preserve"> na dan 30. lipnja 2023. godine</w:t>
      </w:r>
      <w:r w:rsidRPr="00916C4B">
        <w:t xml:space="preserve"> izdanih na domaćem tržištu kapitala. Uz svaku pojedinačnu seriju obveznice naznačen je datum izdanja, valuta i iznos izdanja te godišnja </w:t>
      </w:r>
      <w:r>
        <w:t xml:space="preserve">kuponska </w:t>
      </w:r>
      <w:r w:rsidRPr="00916C4B">
        <w:t>kamatna stop</w:t>
      </w:r>
      <w:bookmarkStart w:id="0" w:name="_GoBack"/>
      <w:bookmarkEnd w:id="0"/>
      <w:r w:rsidRPr="00916C4B">
        <w:t>a i datum dospijeća otplate</w:t>
      </w:r>
      <w:r>
        <w:t xml:space="preserve"> izdanja</w:t>
      </w:r>
      <w:r w:rsidRPr="00916C4B">
        <w:t>.</w:t>
      </w:r>
    </w:p>
    <w:p w:rsidR="004717A9" w:rsidRPr="00916C4B" w:rsidRDefault="004717A9" w:rsidP="004717A9">
      <w:pPr>
        <w:pStyle w:val="Odlomakpopisa"/>
        <w:numPr>
          <w:ilvl w:val="0"/>
          <w:numId w:val="1"/>
        </w:numPr>
        <w:spacing w:after="200" w:line="360" w:lineRule="auto"/>
        <w:jc w:val="both"/>
        <w:rPr>
          <w:b/>
          <w:i/>
        </w:rPr>
      </w:pPr>
      <w:proofErr w:type="spellStart"/>
      <w:r w:rsidRPr="00916C4B">
        <w:rPr>
          <w:b/>
          <w:i/>
        </w:rPr>
        <w:lastRenderedPageBreak/>
        <w:t>Euroobveznice</w:t>
      </w:r>
      <w:proofErr w:type="spellEnd"/>
      <w:r w:rsidRPr="00916C4B">
        <w:rPr>
          <w:b/>
          <w:i/>
        </w:rPr>
        <w:t xml:space="preserve"> na međunarodnom tržištu</w:t>
      </w:r>
    </w:p>
    <w:p w:rsidR="004717A9" w:rsidRDefault="004717A9" w:rsidP="004717A9">
      <w:pPr>
        <w:jc w:val="both"/>
      </w:pPr>
      <w:r w:rsidRPr="00916C4B">
        <w:t xml:space="preserve">Republika Hrvatska </w:t>
      </w:r>
      <w:r>
        <w:t>je</w:t>
      </w:r>
      <w:r w:rsidRPr="00916C4B">
        <w:t xml:space="preserve"> u </w:t>
      </w:r>
      <w:r>
        <w:t>lipnju</w:t>
      </w:r>
      <w:r w:rsidRPr="00916C4B">
        <w:t xml:space="preserve"> </w:t>
      </w:r>
      <w:r>
        <w:t xml:space="preserve">uspješno realizirala izdanje </w:t>
      </w:r>
      <w:proofErr w:type="spellStart"/>
      <w:r>
        <w:t>euroobveznice</w:t>
      </w:r>
      <w:proofErr w:type="spellEnd"/>
      <w:r w:rsidRPr="00916C4B">
        <w:t xml:space="preserve"> na međunarodnom financijskom tržištu</w:t>
      </w:r>
      <w:r>
        <w:t xml:space="preserve"> u iznosu 1,5 milijardi eura. Obveznice su</w:t>
      </w:r>
      <w:r w:rsidRPr="00916C4B">
        <w:t xml:space="preserve"> izdane po cijeni od 9</w:t>
      </w:r>
      <w:r>
        <w:t>9,560</w:t>
      </w:r>
      <w:r w:rsidRPr="00916C4B">
        <w:t xml:space="preserve">% nominalnog iznosa uz nepromjenjivi kamatni kupon od </w:t>
      </w:r>
      <w:r>
        <w:t>4,000</w:t>
      </w:r>
      <w:r w:rsidRPr="00916C4B">
        <w:t>%</w:t>
      </w:r>
      <w:r w:rsidRPr="00916C4B">
        <w:rPr>
          <w:b/>
        </w:rPr>
        <w:t xml:space="preserve"> </w:t>
      </w:r>
      <w:r w:rsidRPr="00916C4B">
        <w:t xml:space="preserve">godišnje, što čini prinos do dospijeća od </w:t>
      </w:r>
      <w:r>
        <w:t>4,047</w:t>
      </w:r>
      <w:r w:rsidRPr="00916C4B">
        <w:t xml:space="preserve">%. </w:t>
      </w:r>
      <w:r>
        <w:t xml:space="preserve">Kamatni kupon isplaćivat će se jednom godišnje. </w:t>
      </w:r>
      <w:r w:rsidRPr="00916C4B">
        <w:t xml:space="preserve">Obveznice su uplaćene </w:t>
      </w:r>
      <w:r>
        <w:t>14. lipnja</w:t>
      </w:r>
      <w:r w:rsidRPr="00916C4B">
        <w:t xml:space="preserve"> 202</w:t>
      </w:r>
      <w:r>
        <w:t>3</w:t>
      </w:r>
      <w:r w:rsidRPr="00916C4B">
        <w:t xml:space="preserve">., a datum dospijeća obveznica je </w:t>
      </w:r>
      <w:r>
        <w:t>14. lipnja</w:t>
      </w:r>
      <w:r w:rsidRPr="00916C4B">
        <w:t xml:space="preserve"> 20</w:t>
      </w:r>
      <w:r>
        <w:t>35</w:t>
      </w:r>
      <w:r w:rsidRPr="00916C4B">
        <w:t>.</w:t>
      </w:r>
      <w:r>
        <w:t xml:space="preserve"> </w:t>
      </w:r>
    </w:p>
    <w:p w:rsidR="004717A9" w:rsidRPr="00916C4B" w:rsidRDefault="004717A9" w:rsidP="004717A9">
      <w:pPr>
        <w:jc w:val="both"/>
      </w:pPr>
    </w:p>
    <w:p w:rsidR="004717A9" w:rsidRPr="00916C4B" w:rsidRDefault="004717A9" w:rsidP="004717A9">
      <w:pPr>
        <w:jc w:val="both"/>
      </w:pPr>
      <w:r w:rsidRPr="00916C4B">
        <w:t xml:space="preserve">Sredstva </w:t>
      </w:r>
      <w:r>
        <w:t>prikupljena</w:t>
      </w:r>
      <w:r w:rsidRPr="00916C4B">
        <w:t xml:space="preserve"> ovim </w:t>
      </w:r>
      <w:r>
        <w:t xml:space="preserve">izdanjem iskoristila su se </w:t>
      </w:r>
      <w:r w:rsidRPr="00916C4B">
        <w:t xml:space="preserve">za </w:t>
      </w:r>
      <w:r>
        <w:t>financiranje općih potreba državnog proračuna.</w:t>
      </w:r>
    </w:p>
    <w:p w:rsidR="004717A9" w:rsidRPr="00916C4B" w:rsidRDefault="004717A9" w:rsidP="004717A9">
      <w:pPr>
        <w:jc w:val="both"/>
      </w:pPr>
    </w:p>
    <w:p w:rsidR="004717A9" w:rsidRPr="00916C4B" w:rsidRDefault="004717A9" w:rsidP="004717A9">
      <w:pPr>
        <w:jc w:val="both"/>
      </w:pPr>
      <w:r w:rsidRPr="00916C4B">
        <w:t xml:space="preserve">U tablici 2. dan je prikaz aktivnih obveznica </w:t>
      </w:r>
      <w:r>
        <w:t xml:space="preserve">na dan 30. lipnja 2023. </w:t>
      </w:r>
      <w:r w:rsidRPr="00916C4B">
        <w:t>izdanih na međunarodnom tržištu s naznačenim datumom izdanja, valutom i iznosom izdanja te</w:t>
      </w:r>
      <w:r>
        <w:t xml:space="preserve"> godišnjom kuponskom</w:t>
      </w:r>
      <w:r w:rsidRPr="00916C4B">
        <w:t xml:space="preserve"> kamatom i datumom dospijeća otplate</w:t>
      </w:r>
      <w:r>
        <w:t xml:space="preserve"> izdanja</w:t>
      </w:r>
      <w:r w:rsidRPr="00916C4B">
        <w:t xml:space="preserve">. Zbog potrebe otklanjanja valutnog rizika izdane su </w:t>
      </w:r>
      <w:r>
        <w:t>jedne</w:t>
      </w:r>
      <w:r w:rsidRPr="00916C4B">
        <w:t xml:space="preserve"> valutne </w:t>
      </w:r>
      <w:proofErr w:type="spellStart"/>
      <w:r w:rsidRPr="00916C4B">
        <w:t>swap</w:t>
      </w:r>
      <w:proofErr w:type="spellEnd"/>
      <w:r w:rsidRPr="00916C4B">
        <w:t xml:space="preserve"> transakcije </w:t>
      </w:r>
      <w:r>
        <w:t xml:space="preserve">dolarskih </w:t>
      </w:r>
      <w:r w:rsidRPr="00916C4B">
        <w:t xml:space="preserve">obveznica, čime se izdane dolarske obveznice i pripadajuće kamate po unaprijed fiksiranom omjeru USD/EUR prebacuju u </w:t>
      </w:r>
      <w:proofErr w:type="spellStart"/>
      <w:r w:rsidRPr="00916C4B">
        <w:t>eurske</w:t>
      </w:r>
      <w:proofErr w:type="spellEnd"/>
      <w:r w:rsidRPr="00916C4B">
        <w:t xml:space="preserve"> obveze.</w:t>
      </w:r>
    </w:p>
    <w:p w:rsidR="004717A9" w:rsidRPr="00916C4B" w:rsidRDefault="004717A9" w:rsidP="004717A9">
      <w:pPr>
        <w:jc w:val="both"/>
        <w:rPr>
          <w:i/>
        </w:rPr>
      </w:pPr>
    </w:p>
    <w:p w:rsidR="004717A9" w:rsidRDefault="004717A9" w:rsidP="004717A9">
      <w:pPr>
        <w:keepNext/>
        <w:spacing w:after="240"/>
        <w:jc w:val="both"/>
        <w:rPr>
          <w:i/>
        </w:rPr>
      </w:pPr>
      <w:r w:rsidRPr="00916C4B">
        <w:rPr>
          <w:i/>
        </w:rPr>
        <w:t>Tablica 2. Pregled aktivnih međunarodnih obveznica Republike Hrvatske, 30. lipnja 202</w:t>
      </w:r>
      <w:r>
        <w:rPr>
          <w:i/>
        </w:rPr>
        <w:t>3</w:t>
      </w:r>
      <w:r w:rsidRPr="00916C4B">
        <w:rPr>
          <w:i/>
        </w:rPr>
        <w:t>.</w:t>
      </w:r>
    </w:p>
    <w:p w:rsidR="004717A9" w:rsidRDefault="004717A9" w:rsidP="004717A9">
      <w:pPr>
        <w:keepNext/>
        <w:jc w:val="center"/>
        <w:rPr>
          <w:i/>
        </w:rPr>
      </w:pPr>
      <w:r w:rsidRPr="00BE66B4">
        <w:rPr>
          <w:noProof/>
        </w:rPr>
        <w:drawing>
          <wp:inline distT="0" distB="0" distL="0" distR="0" wp14:anchorId="1BF4ED9A" wp14:editId="1E4BF2EE">
            <wp:extent cx="5760720" cy="3297093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9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7A9" w:rsidRPr="00916C4B" w:rsidRDefault="004717A9" w:rsidP="004717A9">
      <w:pPr>
        <w:jc w:val="both"/>
        <w:rPr>
          <w:i/>
        </w:rPr>
      </w:pPr>
      <w:r w:rsidRPr="00916C4B">
        <w:rPr>
          <w:i/>
        </w:rPr>
        <w:t>Izvor: Ministarstvo financija</w:t>
      </w:r>
    </w:p>
    <w:p w:rsidR="004717A9" w:rsidRDefault="004717A9" w:rsidP="004717A9">
      <w:pPr>
        <w:jc w:val="both"/>
      </w:pPr>
    </w:p>
    <w:p w:rsidR="004717A9" w:rsidRPr="00916C4B" w:rsidRDefault="004717A9" w:rsidP="004717A9">
      <w:pPr>
        <w:jc w:val="both"/>
      </w:pPr>
    </w:p>
    <w:p w:rsidR="004717A9" w:rsidRPr="00916C4B" w:rsidRDefault="004717A9" w:rsidP="004717A9">
      <w:pPr>
        <w:pStyle w:val="Odlomakpopisa"/>
        <w:numPr>
          <w:ilvl w:val="0"/>
          <w:numId w:val="1"/>
        </w:numPr>
        <w:tabs>
          <w:tab w:val="left" w:pos="360"/>
        </w:tabs>
        <w:rPr>
          <w:b/>
          <w:i/>
        </w:rPr>
      </w:pPr>
      <w:r w:rsidRPr="00916C4B">
        <w:rPr>
          <w:b/>
          <w:i/>
        </w:rPr>
        <w:t xml:space="preserve">Zaduživanje na domaćem tržištu putem dugoročnih kredita </w:t>
      </w:r>
    </w:p>
    <w:p w:rsidR="004717A9" w:rsidRPr="00916C4B" w:rsidRDefault="004717A9" w:rsidP="004717A9">
      <w:pPr>
        <w:tabs>
          <w:tab w:val="left" w:pos="360"/>
        </w:tabs>
        <w:rPr>
          <w:b/>
          <w:i/>
        </w:rPr>
      </w:pPr>
    </w:p>
    <w:p w:rsidR="004717A9" w:rsidRPr="00916C4B" w:rsidRDefault="004717A9" w:rsidP="004717A9">
      <w:pPr>
        <w:pStyle w:val="Odlomakpopisa"/>
        <w:numPr>
          <w:ilvl w:val="0"/>
          <w:numId w:val="2"/>
        </w:numPr>
        <w:tabs>
          <w:tab w:val="left" w:pos="360"/>
        </w:tabs>
      </w:pPr>
      <w:r w:rsidRPr="00916C4B">
        <w:t>Kredit u iznosu od</w:t>
      </w:r>
      <w:r>
        <w:t xml:space="preserve"> 240.000.000,00 eura</w:t>
      </w:r>
    </w:p>
    <w:p w:rsidR="004717A9" w:rsidRPr="00916C4B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tabs>
          <w:tab w:val="left" w:pos="360"/>
        </w:tabs>
        <w:jc w:val="both"/>
      </w:pPr>
      <w:r>
        <w:t xml:space="preserve">Radi izvršenja izdataka utvrđenih Zakonom o izvršavanju Državnog proračuna, </w:t>
      </w:r>
      <w:r w:rsidRPr="00916C4B">
        <w:t xml:space="preserve">Republika Hrvatska se u </w:t>
      </w:r>
      <w:r>
        <w:t>siječnju</w:t>
      </w:r>
      <w:r w:rsidRPr="00916C4B">
        <w:t xml:space="preserve"> zadužila na domaćem financijskom tržištu u iznosu </w:t>
      </w:r>
      <w:r>
        <w:t>240 milijuna eura. Kamatna stopa je nepromjenjiva i iznosi 3,152% godišnje.</w:t>
      </w:r>
      <w:r w:rsidRPr="00916C4B">
        <w:t xml:space="preserve"> Glavnica će se o</w:t>
      </w:r>
      <w:r>
        <w:t>tplaćivati u osam jednakih polugodišnjih rata od kojih prva dospijeva na naplatu 30. lipnja 2023., a zadnja 31. prosinca 2026. godine.</w:t>
      </w:r>
      <w:r w:rsidRPr="00916C4B">
        <w:t xml:space="preserve"> </w:t>
      </w:r>
    </w:p>
    <w:p w:rsidR="004717A9" w:rsidRPr="00916C4B" w:rsidRDefault="004717A9" w:rsidP="004717A9">
      <w:pPr>
        <w:pStyle w:val="Odlomakpopisa"/>
        <w:numPr>
          <w:ilvl w:val="0"/>
          <w:numId w:val="2"/>
        </w:numPr>
        <w:tabs>
          <w:tab w:val="left" w:pos="360"/>
        </w:tabs>
      </w:pPr>
      <w:r w:rsidRPr="00916C4B">
        <w:lastRenderedPageBreak/>
        <w:t xml:space="preserve">Kredit u iznosu od </w:t>
      </w:r>
      <w:r>
        <w:t>100.000.000,00 eura</w:t>
      </w:r>
      <w:r w:rsidRPr="00916C4B">
        <w:t xml:space="preserve">  </w:t>
      </w:r>
    </w:p>
    <w:p w:rsidR="004717A9" w:rsidRPr="00916C4B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tabs>
          <w:tab w:val="left" w:pos="360"/>
        </w:tabs>
        <w:jc w:val="both"/>
      </w:pPr>
      <w:r w:rsidRPr="00916C4B">
        <w:t xml:space="preserve">Republika Hrvatska se </w:t>
      </w:r>
      <w:r>
        <w:t xml:space="preserve">u siječnju </w:t>
      </w:r>
      <w:r w:rsidRPr="00916C4B">
        <w:t xml:space="preserve">zadužila na domaćem financijskom tržištu u iznosu </w:t>
      </w:r>
      <w:r>
        <w:t>100 milijuna eura. Kamatna stopa je promjenjiva, jednaka zbroju šestomjesečnog EURIBOR-a i marže u iznosu od 0,13% godišnje.</w:t>
      </w:r>
      <w:r w:rsidRPr="00916C4B">
        <w:t xml:space="preserve"> Glavnica će se o</w:t>
      </w:r>
      <w:r>
        <w:t>tplaćivati u osam jednakih polugodišnjih rata od kojih prva dospijeva na naplatu u roku od 6 mjeseci od dana korištenja kredita.</w:t>
      </w:r>
      <w:r w:rsidRPr="00916C4B">
        <w:t xml:space="preserve"> </w:t>
      </w:r>
    </w:p>
    <w:p w:rsidR="004717A9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pStyle w:val="Odlomakpopisa"/>
        <w:numPr>
          <w:ilvl w:val="0"/>
          <w:numId w:val="2"/>
        </w:numPr>
        <w:tabs>
          <w:tab w:val="left" w:pos="360"/>
        </w:tabs>
      </w:pPr>
      <w:r w:rsidRPr="00916C4B">
        <w:t xml:space="preserve">Kredit u iznosu od </w:t>
      </w:r>
      <w:r>
        <w:t>300.000.000,00 eura</w:t>
      </w:r>
    </w:p>
    <w:p w:rsidR="004717A9" w:rsidRPr="00916C4B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tabs>
          <w:tab w:val="left" w:pos="360"/>
        </w:tabs>
        <w:jc w:val="both"/>
      </w:pPr>
      <w:r>
        <w:t xml:space="preserve">U siječnju se Republika Hrvatska </w:t>
      </w:r>
      <w:r w:rsidRPr="00916C4B">
        <w:t xml:space="preserve">zadužila na domaćem financijskom tržištu u iznosu </w:t>
      </w:r>
      <w:r>
        <w:t>300 milijuna eura. Kamatna stopa je fiksna, 3,234% godišnje, uz polugodišnji obračun i plaćanje.</w:t>
      </w:r>
      <w:r w:rsidRPr="00916C4B">
        <w:t xml:space="preserve"> Glavnica će se o</w:t>
      </w:r>
      <w:r>
        <w:t>tplaćivati u jednakim polugodišnjim ratama od kojih prva dospijeva na naplatu 31. srpnja 2023, a posljednja 31. siječnja 2028. godine.</w:t>
      </w:r>
      <w:r w:rsidRPr="00916C4B">
        <w:t xml:space="preserve"> </w:t>
      </w:r>
    </w:p>
    <w:p w:rsidR="004717A9" w:rsidRDefault="004717A9" w:rsidP="004717A9">
      <w:pPr>
        <w:tabs>
          <w:tab w:val="left" w:pos="360"/>
        </w:tabs>
        <w:jc w:val="both"/>
      </w:pPr>
    </w:p>
    <w:p w:rsidR="004717A9" w:rsidRDefault="004717A9" w:rsidP="004717A9">
      <w:pPr>
        <w:tabs>
          <w:tab w:val="left" w:pos="360"/>
        </w:tabs>
        <w:jc w:val="both"/>
      </w:pPr>
    </w:p>
    <w:p w:rsidR="004717A9" w:rsidRPr="00D47C26" w:rsidRDefault="004717A9" w:rsidP="004717A9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b/>
          <w:i/>
        </w:rPr>
      </w:pPr>
      <w:r w:rsidRPr="00D47C26">
        <w:rPr>
          <w:b/>
          <w:i/>
        </w:rPr>
        <w:t>Preuzete obveze</w:t>
      </w:r>
    </w:p>
    <w:p w:rsidR="004717A9" w:rsidRPr="00D47C26" w:rsidRDefault="004717A9" w:rsidP="004717A9">
      <w:pPr>
        <w:pStyle w:val="Uvuenotijeloteksta"/>
        <w:ind w:firstLine="0"/>
        <w:rPr>
          <w:color w:val="FF0000"/>
        </w:rPr>
      </w:pPr>
    </w:p>
    <w:p w:rsidR="004717A9" w:rsidRPr="00916C4B" w:rsidRDefault="004717A9" w:rsidP="004717A9">
      <w:pPr>
        <w:jc w:val="both"/>
      </w:pPr>
      <w:r w:rsidRPr="00D47C26">
        <w:t>U prvoj polovici 2023. godine nije bilo preuzetih obveza.</w:t>
      </w:r>
    </w:p>
    <w:p w:rsidR="004717A9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pStyle w:val="Odlomakpopisa"/>
        <w:numPr>
          <w:ilvl w:val="0"/>
          <w:numId w:val="1"/>
        </w:numPr>
        <w:jc w:val="both"/>
        <w:rPr>
          <w:b/>
          <w:i/>
          <w:snapToGrid w:val="0"/>
          <w:lang w:eastAsia="en-US"/>
        </w:rPr>
      </w:pPr>
      <w:r w:rsidRPr="00916C4B">
        <w:rPr>
          <w:b/>
          <w:i/>
          <w:snapToGrid w:val="0"/>
          <w:lang w:eastAsia="en-US"/>
        </w:rPr>
        <w:t xml:space="preserve">Zaduživanje putem izdavanja trezorskih zapisa </w:t>
      </w:r>
    </w:p>
    <w:p w:rsidR="004717A9" w:rsidRPr="00916C4B" w:rsidRDefault="004717A9" w:rsidP="004717A9">
      <w:pPr>
        <w:jc w:val="both"/>
        <w:rPr>
          <w:snapToGrid w:val="0"/>
          <w:lang w:eastAsia="en-US"/>
        </w:rPr>
      </w:pPr>
    </w:p>
    <w:p w:rsidR="004717A9" w:rsidRPr="00916C4B" w:rsidRDefault="004717A9" w:rsidP="004717A9">
      <w:pPr>
        <w:jc w:val="both"/>
        <w:rPr>
          <w:snapToGrid w:val="0"/>
          <w:lang w:eastAsia="en-US"/>
        </w:rPr>
      </w:pPr>
      <w:r w:rsidRPr="00916C4B">
        <w:rPr>
          <w:snapToGrid w:val="0"/>
          <w:lang w:eastAsia="en-US"/>
        </w:rPr>
        <w:t xml:space="preserve">Ministarstvo financija provodi aukcije trezorskih zapisa u skladu s </w:t>
      </w:r>
      <w:r w:rsidRPr="00916C4B">
        <w:rPr>
          <w:i/>
          <w:iCs/>
          <w:snapToGrid w:val="0"/>
          <w:lang w:eastAsia="en-US"/>
        </w:rPr>
        <w:t>Pravilima i uvjetima aukcija trezorskih zapisa</w:t>
      </w:r>
      <w:r w:rsidRPr="00916C4B">
        <w:rPr>
          <w:snapToGrid w:val="0"/>
          <w:lang w:eastAsia="en-US"/>
        </w:rPr>
        <w:t xml:space="preserve">, koristeći se elektroničkim aukcijskim sustavom </w:t>
      </w:r>
      <w:proofErr w:type="spellStart"/>
      <w:r w:rsidRPr="00916C4B">
        <w:rPr>
          <w:snapToGrid w:val="0"/>
          <w:lang w:eastAsia="en-US"/>
        </w:rPr>
        <w:t>Bloomberg</w:t>
      </w:r>
      <w:proofErr w:type="spellEnd"/>
      <w:r w:rsidRPr="00916C4B">
        <w:rPr>
          <w:snapToGrid w:val="0"/>
          <w:lang w:eastAsia="en-US"/>
        </w:rPr>
        <w:t xml:space="preserve"> (BAS). </w:t>
      </w:r>
    </w:p>
    <w:p w:rsidR="004717A9" w:rsidRPr="00916C4B" w:rsidRDefault="004717A9" w:rsidP="004717A9">
      <w:pPr>
        <w:jc w:val="both"/>
        <w:rPr>
          <w:snapToGrid w:val="0"/>
          <w:lang w:eastAsia="en-US"/>
        </w:rPr>
      </w:pPr>
    </w:p>
    <w:p w:rsidR="004717A9" w:rsidRDefault="004717A9" w:rsidP="004717A9">
      <w:pPr>
        <w:jc w:val="both"/>
      </w:pPr>
      <w:r w:rsidRPr="00916C4B">
        <w:t>U prvoj polovici 202</w:t>
      </w:r>
      <w:r>
        <w:t>3</w:t>
      </w:r>
      <w:r w:rsidRPr="00916C4B">
        <w:t xml:space="preserve">. godine održano je </w:t>
      </w:r>
      <w:r>
        <w:t>6</w:t>
      </w:r>
      <w:r w:rsidRPr="00916C4B">
        <w:t xml:space="preserve"> aukcija trezorskih zapisa na kojima je bilo ukupno 1</w:t>
      </w:r>
      <w:r>
        <w:t>4</w:t>
      </w:r>
      <w:r w:rsidRPr="00916C4B">
        <w:t xml:space="preserve"> izdanja, od čega </w:t>
      </w:r>
      <w:r>
        <w:t>3</w:t>
      </w:r>
      <w:r w:rsidRPr="00916C4B">
        <w:t xml:space="preserve"> </w:t>
      </w:r>
      <w:r>
        <w:t>izdanja s rokom dospijeća od 91 dan</w:t>
      </w:r>
      <w:r w:rsidRPr="00916C4B">
        <w:t xml:space="preserve">, </w:t>
      </w:r>
      <w:r>
        <w:t>5</w:t>
      </w:r>
      <w:r w:rsidRPr="00916C4B">
        <w:t xml:space="preserve"> izdanj</w:t>
      </w:r>
      <w:r>
        <w:t>a</w:t>
      </w:r>
      <w:r w:rsidRPr="00916C4B">
        <w:t xml:space="preserve"> </w:t>
      </w:r>
      <w:r>
        <w:t>s rokom dospijeća od 182 dana i 6 izdanja s rokom dospijeća od 364 dana.</w:t>
      </w:r>
    </w:p>
    <w:p w:rsidR="004717A9" w:rsidRDefault="004717A9" w:rsidP="004717A9">
      <w:pPr>
        <w:jc w:val="both"/>
      </w:pPr>
      <w:r w:rsidRPr="003229F4">
        <w:t xml:space="preserve">  </w:t>
      </w:r>
    </w:p>
    <w:p w:rsidR="004717A9" w:rsidRPr="00916C4B" w:rsidRDefault="004717A9" w:rsidP="004717A9">
      <w:pPr>
        <w:tabs>
          <w:tab w:val="left" w:pos="360"/>
        </w:tabs>
        <w:jc w:val="both"/>
      </w:pPr>
      <w:r w:rsidRPr="00916C4B">
        <w:t>Struktura i iznos upisanih trezorskih zapisa</w:t>
      </w:r>
      <w:r>
        <w:t>, u nominalnom iznosu,</w:t>
      </w:r>
      <w:r w:rsidRPr="00916C4B">
        <w:t xml:space="preserve"> na dan 30. lipnja 202</w:t>
      </w:r>
      <w:r>
        <w:t>3</w:t>
      </w:r>
      <w:r w:rsidRPr="00916C4B">
        <w:t>. prikazani su u tablici 3.</w:t>
      </w:r>
    </w:p>
    <w:p w:rsidR="004717A9" w:rsidRPr="00916C4B" w:rsidRDefault="004717A9" w:rsidP="004717A9"/>
    <w:p w:rsidR="004717A9" w:rsidRDefault="004717A9" w:rsidP="004717A9">
      <w:pPr>
        <w:pStyle w:val="Opisslike"/>
        <w:keepNext/>
        <w:rPr>
          <w:b w:val="0"/>
          <w:i/>
          <w:color w:val="auto"/>
          <w:sz w:val="24"/>
          <w:szCs w:val="24"/>
        </w:rPr>
      </w:pPr>
      <w:r w:rsidRPr="00916C4B">
        <w:rPr>
          <w:b w:val="0"/>
          <w:i/>
          <w:color w:val="auto"/>
          <w:sz w:val="24"/>
          <w:szCs w:val="24"/>
        </w:rPr>
        <w:t>Tablica 3. Struktura trezorskih zapisa</w:t>
      </w:r>
      <w:r>
        <w:rPr>
          <w:b w:val="0"/>
          <w:i/>
          <w:color w:val="auto"/>
          <w:sz w:val="24"/>
          <w:szCs w:val="24"/>
        </w:rPr>
        <w:t xml:space="preserve"> u nominalnom iznosu</w:t>
      </w:r>
      <w:r w:rsidRPr="00916C4B">
        <w:rPr>
          <w:b w:val="0"/>
          <w:i/>
          <w:color w:val="auto"/>
          <w:sz w:val="24"/>
          <w:szCs w:val="24"/>
        </w:rPr>
        <w:t>, 30. lipnja 202</w:t>
      </w:r>
      <w:r>
        <w:rPr>
          <w:b w:val="0"/>
          <w:i/>
          <w:color w:val="auto"/>
          <w:sz w:val="24"/>
          <w:szCs w:val="24"/>
        </w:rPr>
        <w:t>3.</w:t>
      </w:r>
    </w:p>
    <w:p w:rsidR="004717A9" w:rsidRDefault="004717A9" w:rsidP="004717A9">
      <w:pPr>
        <w:jc w:val="center"/>
        <w:rPr>
          <w:bCs/>
          <w:i/>
        </w:rPr>
      </w:pPr>
      <w:r w:rsidRPr="004D33E4">
        <w:rPr>
          <w:noProof/>
        </w:rPr>
        <w:drawing>
          <wp:inline distT="0" distB="0" distL="0" distR="0" wp14:anchorId="62B360F6" wp14:editId="169BA8AB">
            <wp:extent cx="4001135" cy="1675130"/>
            <wp:effectExtent l="0" t="0" r="0" b="127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7A9" w:rsidRPr="00916C4B" w:rsidRDefault="004717A9" w:rsidP="004717A9">
      <w:pPr>
        <w:ind w:left="708" w:firstLine="708"/>
        <w:jc w:val="both"/>
        <w:rPr>
          <w:i/>
        </w:rPr>
      </w:pPr>
      <w:r w:rsidRPr="00916C4B">
        <w:rPr>
          <w:i/>
        </w:rPr>
        <w:t>Izvor: Ministarstvo financija</w:t>
      </w:r>
    </w:p>
    <w:p w:rsidR="004717A9" w:rsidRPr="00916C4B" w:rsidRDefault="004717A9" w:rsidP="004717A9">
      <w:pPr>
        <w:tabs>
          <w:tab w:val="left" w:pos="360"/>
        </w:tabs>
        <w:jc w:val="both"/>
      </w:pPr>
    </w:p>
    <w:p w:rsidR="004717A9" w:rsidRPr="00916C4B" w:rsidRDefault="004717A9" w:rsidP="004717A9">
      <w:pPr>
        <w:jc w:val="both"/>
      </w:pPr>
      <w:r w:rsidRPr="00916C4B">
        <w:t>Kamatne st</w:t>
      </w:r>
      <w:r>
        <w:t xml:space="preserve">ope na trezorske zapise </w:t>
      </w:r>
      <w:r w:rsidRPr="00916C4B">
        <w:t>potkraj lipnja 20</w:t>
      </w:r>
      <w:r>
        <w:t>23</w:t>
      </w:r>
      <w:r w:rsidRPr="00916C4B">
        <w:t xml:space="preserve">. godine s rokom dospijeća od 364 dana iznosile su </w:t>
      </w:r>
      <w:r>
        <w:t>3</w:t>
      </w:r>
      <w:r w:rsidRPr="00916C4B">
        <w:t>,</w:t>
      </w:r>
      <w:r>
        <w:t>5%, s rokom dospijeća od 182 dana iznosile su 3,2%, dok su  s rokom dospijeća od 91 dan bile 2,0%.</w:t>
      </w:r>
    </w:p>
    <w:p w:rsidR="004717A9" w:rsidRPr="00916C4B" w:rsidRDefault="004717A9" w:rsidP="004717A9">
      <w:pPr>
        <w:jc w:val="both"/>
      </w:pPr>
    </w:p>
    <w:p w:rsidR="004717A9" w:rsidRPr="00F1353B" w:rsidRDefault="004717A9" w:rsidP="004717A9">
      <w:pPr>
        <w:tabs>
          <w:tab w:val="left" w:pos="360"/>
        </w:tabs>
        <w:jc w:val="both"/>
      </w:pPr>
      <w:r w:rsidRPr="00F1353B">
        <w:lastRenderedPageBreak/>
        <w:t>U 2023. godini, do kraja lipnja, na aukcijama trezorskih zapisa izdano je ukupno 1,697 milijardi eura</w:t>
      </w:r>
      <w:r>
        <w:t xml:space="preserve"> u diskontiranom iznosu.</w:t>
      </w:r>
      <w:r w:rsidRPr="00F1353B">
        <w:t xml:space="preserve"> Istodobno je iskupljeno 2,285 milijardi</w:t>
      </w:r>
      <w:r>
        <w:t xml:space="preserve"> eura u diskontiranom iznosu.</w:t>
      </w:r>
      <w:r w:rsidRPr="00F1353B">
        <w:t xml:space="preserve"> Stanje ukupno upisanih trezorskih zapisa u nominalnom iznosu smanjilo se sa 2,</w:t>
      </w:r>
      <w:r>
        <w:t>699</w:t>
      </w:r>
      <w:r w:rsidRPr="00F1353B">
        <w:t xml:space="preserve"> milijardi eura koliko je iznosilo potkraj 2022. </w:t>
      </w:r>
      <w:r>
        <w:t xml:space="preserve">godine </w:t>
      </w:r>
      <w:r w:rsidRPr="00F1353B">
        <w:t>na 2,159 milijardi eura, koliko je iznosilo potkraj lipnja 2023. godine. U tablici 4. prikazani su primici i izdaci po svakoj aukciji trezorskih zapisa tijekom prvih šest mjeseci 2023. godine.</w:t>
      </w:r>
    </w:p>
    <w:p w:rsidR="004717A9" w:rsidRPr="00F1353B" w:rsidRDefault="004717A9" w:rsidP="004717A9">
      <w:pPr>
        <w:tabs>
          <w:tab w:val="left" w:pos="360"/>
        </w:tabs>
        <w:jc w:val="both"/>
      </w:pPr>
    </w:p>
    <w:p w:rsidR="004717A9" w:rsidRDefault="004717A9" w:rsidP="004717A9">
      <w:pPr>
        <w:pStyle w:val="Opisslike"/>
        <w:keepNext/>
        <w:rPr>
          <w:bCs w:val="0"/>
          <w:i/>
          <w:color w:val="auto"/>
          <w:sz w:val="24"/>
          <w:szCs w:val="24"/>
        </w:rPr>
      </w:pPr>
      <w:r w:rsidRPr="00F1353B">
        <w:rPr>
          <w:b w:val="0"/>
          <w:i/>
          <w:color w:val="auto"/>
          <w:sz w:val="24"/>
          <w:szCs w:val="24"/>
        </w:rPr>
        <w:t>Tablica 4.  Primici i izdaci po trezorskim zapisima do 30. lipnja 2023.</w:t>
      </w:r>
      <w:r w:rsidRPr="00F1353B">
        <w:rPr>
          <w:bCs w:val="0"/>
          <w:i/>
          <w:color w:val="auto"/>
          <w:sz w:val="24"/>
          <w:szCs w:val="24"/>
        </w:rPr>
        <w:t xml:space="preserve"> </w:t>
      </w:r>
    </w:p>
    <w:p w:rsidR="00484570" w:rsidRDefault="00484570" w:rsidP="00484570">
      <w:r>
        <w:rPr>
          <w:noProof/>
        </w:rPr>
        <w:drawing>
          <wp:inline distT="0" distB="0" distL="0" distR="0" wp14:anchorId="26C3E6F3">
            <wp:extent cx="5761355" cy="2512060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17A9" w:rsidRPr="007F60D3" w:rsidRDefault="004717A9" w:rsidP="004717A9">
      <w:pPr>
        <w:spacing w:after="200"/>
      </w:pPr>
      <w:r w:rsidRPr="007F60D3">
        <w:rPr>
          <w:i/>
        </w:rPr>
        <w:t>Izvor: Ministarstvo financija</w:t>
      </w:r>
    </w:p>
    <w:p w:rsidR="004717A9" w:rsidRPr="00916C4B" w:rsidRDefault="004717A9" w:rsidP="004717A9">
      <w:pPr>
        <w:tabs>
          <w:tab w:val="left" w:pos="0"/>
        </w:tabs>
        <w:jc w:val="both"/>
        <w:rPr>
          <w:b/>
          <w:u w:val="single"/>
        </w:rPr>
      </w:pPr>
    </w:p>
    <w:p w:rsidR="004717A9" w:rsidRPr="00916C4B" w:rsidRDefault="004717A9" w:rsidP="004717A9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b/>
          <w:i/>
        </w:rPr>
      </w:pPr>
      <w:r w:rsidRPr="00916C4B">
        <w:rPr>
          <w:b/>
          <w:i/>
        </w:rPr>
        <w:t>Zaduživanje putem kratkoročnih kredita</w:t>
      </w:r>
    </w:p>
    <w:p w:rsidR="004717A9" w:rsidRPr="00916C4B" w:rsidRDefault="004717A9" w:rsidP="004717A9">
      <w:pPr>
        <w:tabs>
          <w:tab w:val="left" w:pos="0"/>
        </w:tabs>
        <w:jc w:val="both"/>
        <w:rPr>
          <w:b/>
        </w:rPr>
      </w:pPr>
    </w:p>
    <w:p w:rsidR="004717A9" w:rsidRDefault="004717A9" w:rsidP="004717A9">
      <w:pPr>
        <w:jc w:val="both"/>
      </w:pPr>
      <w:r>
        <w:t>U prvoj polovici 2023. godine nije bilo potrebe za zaduživanjem putem kratkoročnih kredita.</w:t>
      </w:r>
    </w:p>
    <w:p w:rsidR="007C7CC8" w:rsidRPr="00916C4B" w:rsidRDefault="007C7CC8" w:rsidP="004717A9">
      <w:pPr>
        <w:jc w:val="both"/>
      </w:pPr>
    </w:p>
    <w:p w:rsidR="004717A9" w:rsidRPr="00916C4B" w:rsidRDefault="004717A9" w:rsidP="004717A9"/>
    <w:p w:rsidR="00564B6B" w:rsidRPr="00564B6B" w:rsidRDefault="00564B6B" w:rsidP="00564B6B">
      <w:pPr>
        <w:pStyle w:val="Odlomakpopisa"/>
        <w:numPr>
          <w:ilvl w:val="0"/>
          <w:numId w:val="1"/>
        </w:numPr>
        <w:rPr>
          <w:b/>
          <w:i/>
          <w:snapToGrid w:val="0"/>
          <w:lang w:eastAsia="en-US"/>
        </w:rPr>
      </w:pPr>
      <w:r w:rsidRPr="00564B6B">
        <w:rPr>
          <w:b/>
          <w:i/>
          <w:snapToGrid w:val="0"/>
          <w:lang w:eastAsia="en-US"/>
        </w:rPr>
        <w:t xml:space="preserve">Zaduživanje kod međunarodnih financijskih institucija </w:t>
      </w:r>
    </w:p>
    <w:p w:rsidR="007C7CC8" w:rsidRPr="007C7CC8" w:rsidRDefault="007C7CC8" w:rsidP="007C7CC8">
      <w:pPr>
        <w:pStyle w:val="Odlomakpopisa"/>
        <w:jc w:val="both"/>
        <w:rPr>
          <w:b/>
          <w:i/>
          <w:snapToGrid w:val="0"/>
          <w:lang w:eastAsia="en-US"/>
        </w:rPr>
      </w:pPr>
    </w:p>
    <w:p w:rsidR="00366FD1" w:rsidRDefault="00366FD1" w:rsidP="00366FD1">
      <w:pPr>
        <w:jc w:val="both"/>
      </w:pPr>
      <w:r w:rsidRPr="00366FD1">
        <w:t xml:space="preserve">U </w:t>
      </w:r>
      <w:r>
        <w:t>prvoj polovici 2023. godine zajmovi međunarodnih financijskih institucija koje je ugovorila izravno Republika Hrvatska i otplaćuje se isključivo na teret državnog proračuna Republike Hrvatske:</w:t>
      </w:r>
    </w:p>
    <w:p w:rsidR="00366FD1" w:rsidRDefault="00366FD1" w:rsidP="00366FD1">
      <w:pPr>
        <w:jc w:val="both"/>
      </w:pPr>
    </w:p>
    <w:p w:rsidR="00366FD1" w:rsidRDefault="00366FD1" w:rsidP="00366FD1">
      <w:pPr>
        <w:jc w:val="both"/>
      </w:pPr>
      <w:r>
        <w:t>1.</w:t>
      </w:r>
      <w:r>
        <w:tab/>
        <w:t>zajam Međunarodne banke za obnovu i razvoj (IBRD) br. 95580-HR (106 milijuna eura), za Projekt "Digitalne, inovativne i zelene tehnologije"; korisnik: Ministarstvo znanosti i obrazovanja; prvi obrok glavnice dospijeva na naplatu 15.11.2028., a posljednji 15.11.2037.; zajam je ugovoren uz promjenjivu kamatnu stopu (6 mjesečni EURIBOR + varijabilna kamatna marža). Ugovor o zajmu potpisan je 28.06.2023., međutim, isti još nije na snazi (rok je 26.10.2023.)</w:t>
      </w:r>
    </w:p>
    <w:p w:rsidR="00366FD1" w:rsidRDefault="00366FD1" w:rsidP="00366FD1">
      <w:pPr>
        <w:jc w:val="both"/>
      </w:pPr>
    </w:p>
    <w:p w:rsidR="007C7CC8" w:rsidRPr="00D47C26" w:rsidRDefault="007C7CC8" w:rsidP="00D47C26">
      <w:pPr>
        <w:pStyle w:val="Odlomakpopisa"/>
        <w:numPr>
          <w:ilvl w:val="0"/>
          <w:numId w:val="1"/>
        </w:numPr>
        <w:jc w:val="both"/>
        <w:rPr>
          <w:b/>
          <w:i/>
          <w:snapToGrid w:val="0"/>
          <w:lang w:eastAsia="en-US"/>
        </w:rPr>
      </w:pPr>
      <w:r w:rsidRPr="00D47C26">
        <w:rPr>
          <w:b/>
          <w:i/>
          <w:snapToGrid w:val="0"/>
          <w:lang w:eastAsia="en-US"/>
        </w:rPr>
        <w:t>Zaduživanja proračunskih korisnika državnog proračuna</w:t>
      </w:r>
    </w:p>
    <w:p w:rsidR="00D909FB" w:rsidRPr="00D47C26" w:rsidRDefault="00D909FB" w:rsidP="007C7CC8">
      <w:pPr>
        <w:jc w:val="both"/>
      </w:pPr>
    </w:p>
    <w:p w:rsidR="007C7CC8" w:rsidRDefault="00D909FB" w:rsidP="007C7CC8">
      <w:pPr>
        <w:contextualSpacing/>
        <w:jc w:val="both"/>
        <w:rPr>
          <w:rFonts w:eastAsiaTheme="minorHAnsi"/>
          <w:lang w:eastAsia="en-US"/>
        </w:rPr>
      </w:pPr>
      <w:r w:rsidRPr="00D47C26">
        <w:t xml:space="preserve">U prvoj polovici 2023. godine </w:t>
      </w:r>
      <w:r w:rsidR="009B0689" w:rsidRPr="00D47C26">
        <w:t>proračunski korisnici državnog proračuna ni</w:t>
      </w:r>
      <w:r w:rsidR="001A291B" w:rsidRPr="00D47C26">
        <w:t>su ugovorili ili preuzeli</w:t>
      </w:r>
      <w:r w:rsidR="006A2AD3" w:rsidRPr="00D47C26">
        <w:rPr>
          <w:color w:val="FF0000"/>
        </w:rPr>
        <w:t xml:space="preserve"> </w:t>
      </w:r>
      <w:r w:rsidR="009B0689" w:rsidRPr="00D47C26">
        <w:t xml:space="preserve">dugoročne kredite i zajmove. </w:t>
      </w:r>
      <w:r>
        <w:t xml:space="preserve"> </w:t>
      </w:r>
    </w:p>
    <w:sectPr w:rsidR="007C7CC8" w:rsidSect="00734ABB">
      <w:footerReference w:type="default" r:id="rId12"/>
      <w:pgSz w:w="11906" w:h="16838"/>
      <w:pgMar w:top="1417" w:right="1417" w:bottom="1417" w:left="1417" w:header="709" w:footer="709" w:gutter="0"/>
      <w:pgNumType w:start="5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49" w:rsidRDefault="00405549" w:rsidP="00FB021F">
      <w:r>
        <w:separator/>
      </w:r>
    </w:p>
  </w:endnote>
  <w:endnote w:type="continuationSeparator" w:id="0">
    <w:p w:rsidR="00405549" w:rsidRDefault="00405549" w:rsidP="00FB0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357493"/>
      <w:docPartObj>
        <w:docPartGallery w:val="Page Numbers (Bottom of Page)"/>
        <w:docPartUnique/>
      </w:docPartObj>
    </w:sdtPr>
    <w:sdtEndPr/>
    <w:sdtContent>
      <w:p w:rsidR="00FB021F" w:rsidRDefault="00FB021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ABB">
          <w:rPr>
            <w:noProof/>
          </w:rPr>
          <w:t>579</w:t>
        </w:r>
        <w:r>
          <w:fldChar w:fldCharType="end"/>
        </w:r>
      </w:p>
    </w:sdtContent>
  </w:sdt>
  <w:p w:rsidR="00FB021F" w:rsidRDefault="00FB021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49" w:rsidRDefault="00405549" w:rsidP="00FB021F">
      <w:r>
        <w:separator/>
      </w:r>
    </w:p>
  </w:footnote>
  <w:footnote w:type="continuationSeparator" w:id="0">
    <w:p w:rsidR="00405549" w:rsidRDefault="00405549" w:rsidP="00FB0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0FE1"/>
    <w:multiLevelType w:val="hybridMultilevel"/>
    <w:tmpl w:val="5616171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675C7D"/>
    <w:multiLevelType w:val="hybridMultilevel"/>
    <w:tmpl w:val="E692FE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03A34"/>
    <w:multiLevelType w:val="hybridMultilevel"/>
    <w:tmpl w:val="705AC800"/>
    <w:lvl w:ilvl="0" w:tplc="ED9036D8">
      <w:start w:val="4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D27C1"/>
    <w:multiLevelType w:val="hybridMultilevel"/>
    <w:tmpl w:val="45D45B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C7C19"/>
    <w:multiLevelType w:val="hybridMultilevel"/>
    <w:tmpl w:val="5F20B86A"/>
    <w:lvl w:ilvl="0" w:tplc="473C1D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1E"/>
    <w:rsid w:val="00075B62"/>
    <w:rsid w:val="000B4F37"/>
    <w:rsid w:val="000D3437"/>
    <w:rsid w:val="000E78CB"/>
    <w:rsid w:val="0011633E"/>
    <w:rsid w:val="00130B90"/>
    <w:rsid w:val="00170C52"/>
    <w:rsid w:val="001A291B"/>
    <w:rsid w:val="001C300A"/>
    <w:rsid w:val="001C617C"/>
    <w:rsid w:val="002A7CF3"/>
    <w:rsid w:val="002F4D60"/>
    <w:rsid w:val="003342A1"/>
    <w:rsid w:val="0034795F"/>
    <w:rsid w:val="00355174"/>
    <w:rsid w:val="00366FD1"/>
    <w:rsid w:val="003833A9"/>
    <w:rsid w:val="003A1E04"/>
    <w:rsid w:val="00405549"/>
    <w:rsid w:val="0044209C"/>
    <w:rsid w:val="004717A9"/>
    <w:rsid w:val="00484570"/>
    <w:rsid w:val="004A7596"/>
    <w:rsid w:val="004B34B7"/>
    <w:rsid w:val="00533604"/>
    <w:rsid w:val="00564B6B"/>
    <w:rsid w:val="00592EA5"/>
    <w:rsid w:val="006528C0"/>
    <w:rsid w:val="006A2AD3"/>
    <w:rsid w:val="00734ABB"/>
    <w:rsid w:val="00780E5C"/>
    <w:rsid w:val="007B0DF2"/>
    <w:rsid w:val="007C7CC8"/>
    <w:rsid w:val="00866896"/>
    <w:rsid w:val="0098372E"/>
    <w:rsid w:val="009B0689"/>
    <w:rsid w:val="009D32B3"/>
    <w:rsid w:val="009E773D"/>
    <w:rsid w:val="00A00D1E"/>
    <w:rsid w:val="00A22D33"/>
    <w:rsid w:val="00A96401"/>
    <w:rsid w:val="00AA3F3F"/>
    <w:rsid w:val="00AB45DB"/>
    <w:rsid w:val="00AE452B"/>
    <w:rsid w:val="00B10705"/>
    <w:rsid w:val="00B77561"/>
    <w:rsid w:val="00BE6172"/>
    <w:rsid w:val="00C35661"/>
    <w:rsid w:val="00D47C26"/>
    <w:rsid w:val="00D909FB"/>
    <w:rsid w:val="00DA162F"/>
    <w:rsid w:val="00ED1202"/>
    <w:rsid w:val="00F52DAF"/>
    <w:rsid w:val="00F66F60"/>
    <w:rsid w:val="00F67473"/>
    <w:rsid w:val="00F92917"/>
    <w:rsid w:val="00FA1249"/>
    <w:rsid w:val="00FB021F"/>
    <w:rsid w:val="00FB2DD4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DFB0AE"/>
  <w15:chartTrackingRefBased/>
  <w15:docId w15:val="{225B929E-A098-4F01-B160-291D6310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A00D1E"/>
    <w:pPr>
      <w:ind w:firstLine="1496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rsid w:val="00A00D1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00D1E"/>
    <w:pPr>
      <w:ind w:left="720"/>
      <w:contextualSpacing/>
    </w:pPr>
  </w:style>
  <w:style w:type="paragraph" w:styleId="Opisslike">
    <w:name w:val="caption"/>
    <w:basedOn w:val="Normal"/>
    <w:next w:val="Normal"/>
    <w:uiPriority w:val="35"/>
    <w:unhideWhenUsed/>
    <w:qFormat/>
    <w:rsid w:val="00A00D1E"/>
    <w:pPr>
      <w:spacing w:after="200"/>
    </w:pPr>
    <w:rPr>
      <w:b/>
      <w:bCs/>
      <w:color w:val="5B9BD5" w:themeColor="accent1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FB021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B021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B02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B021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B021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021F"/>
    <w:rPr>
      <w:rFonts w:ascii="Segoe UI" w:eastAsia="Times New Roman" w:hAnsi="Segoe UI" w:cs="Segoe UI"/>
      <w:sz w:val="18"/>
      <w:szCs w:val="18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35517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5517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5517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5517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5517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8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AAF53-33FB-4628-A35B-C7AE061D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Mirta Hukman</dc:creator>
  <cp:keywords/>
  <dc:description/>
  <cp:lastModifiedBy>Mirta Hukman</cp:lastModifiedBy>
  <cp:revision>6</cp:revision>
  <cp:lastPrinted>2023-09-15T10:00:00Z</cp:lastPrinted>
  <dcterms:created xsi:type="dcterms:W3CDTF">2023-09-14T08:02:00Z</dcterms:created>
  <dcterms:modified xsi:type="dcterms:W3CDTF">2023-09-15T10:00:00Z</dcterms:modified>
</cp:coreProperties>
</file>