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00" w:rsidRDefault="006431D2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t>OBRAZLOŽENJE IZVRŠENJA FINANCIJSKOG PLANA CENTRA ZA RESTRUKTURIRANJE I PRODAJU ZA PRVO POLUGODIŠTE 2023. GODINE</w:t>
      </w:r>
    </w:p>
    <w:p w:rsidR="00847200" w:rsidRDefault="006431D2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624"/>
        <w:gridCol w:w="1499"/>
        <w:gridCol w:w="1499"/>
        <w:gridCol w:w="1498"/>
        <w:gridCol w:w="937"/>
        <w:gridCol w:w="937"/>
      </w:tblGrid>
      <w:tr w:rsidR="00847200">
        <w:tc>
          <w:tcPr>
            <w:tcW w:w="14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BF2AA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6431D2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847200">
        <w:tc>
          <w:tcPr>
            <w:tcW w:w="14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847200">
        <w:tc>
          <w:tcPr>
            <w:tcW w:w="14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685.515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5.592.375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1.212.754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176,9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21,7</w:t>
            </w:r>
          </w:p>
        </w:tc>
      </w:tr>
      <w:tr w:rsidR="00847200">
        <w:tc>
          <w:tcPr>
            <w:tcW w:w="14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25.252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79.600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26.259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104,0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33,0</w:t>
            </w:r>
          </w:p>
        </w:tc>
      </w:tr>
      <w:tr w:rsidR="00847200">
        <w:tc>
          <w:tcPr>
            <w:tcW w:w="14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710.766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5.671.975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1.239.013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174,3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21,8</w:t>
            </w:r>
          </w:p>
        </w:tc>
      </w:tr>
    </w:tbl>
    <w:p w:rsidR="00847200" w:rsidRDefault="00847200">
      <w:pPr>
        <w:spacing w:after="0" w:line="240" w:lineRule="auto"/>
      </w:pP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 xml:space="preserve">PRIHODI POSLOVANJA 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za restrukturiranje i prodaju (dalje u tekstu: Centar) je za 2023. godinu planirao prihode poslovanja u iznosu od 5.592.375,00 eura, a za izvještajno razdoblje od siječnja do kraja lipnja 2023. godine isti su ostvareni u iznosu od 1.212.754,19 eura ili 21,69% plana i odnose se na:</w:t>
      </w:r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Pomoći proračunu iz drugih proračuna i izvanproračunskim korisnicima</w:t>
      </w:r>
      <w:r>
        <w:rPr>
          <w:rFonts w:ascii="Times New Roman" w:hAnsi="Times New Roman" w:cs="Times New Roman"/>
          <w:sz w:val="24"/>
        </w:rPr>
        <w:t> - ostvarene su u iznosu od 475.403,37 eura, a odnose se na sredstva zaprimljena od Ministarstva financija za podmirenje tražbina radnika društva Orljava d.o.o. u stečaju sukladno Odluci Vlade Republike Hrvatske o sklapanju ugovora o prijenosu tražbina radnika društva Orljava d.o.o. u stečaju kao stečajnih vjerovnika prvog višeg isplatnog reda prema stečajnom dužniku Orljava d.o.o. u stečaju od 02. ožujka 2023. godine;</w:t>
      </w:r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Prihodi od financijske imovine</w:t>
      </w:r>
      <w:r>
        <w:rPr>
          <w:rFonts w:ascii="Times New Roman" w:hAnsi="Times New Roman" w:cs="Times New Roman"/>
          <w:sz w:val="24"/>
        </w:rPr>
        <w:t xml:space="preserve"> – ostvareni su u iznosu 492.520,66 eura, a u najvećoj mjeri se odnose na prihode od zateznih kamata (14.915,62 eura), prihode od dividendi (462.769,24 eura), prihode od kamata na oročena sredstva i depozite po viđenju (3.057,92 eura) i ostale prihode od financijske imovine (11.777,88 eura);</w:t>
      </w:r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Prihodi od nefinancijske imovine</w:t>
      </w:r>
      <w:r>
        <w:rPr>
          <w:rFonts w:ascii="Times New Roman" w:hAnsi="Times New Roman" w:cs="Times New Roman"/>
          <w:sz w:val="24"/>
        </w:rPr>
        <w:t xml:space="preserve"> – ostvareni su u iznosu od 27.792,28 eura i odnose se na prihode od zakupa i najma;</w:t>
      </w:r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Prihodi od kamata na dane zajmove</w:t>
      </w:r>
      <w:r>
        <w:rPr>
          <w:rFonts w:ascii="Times New Roman" w:hAnsi="Times New Roman" w:cs="Times New Roman"/>
          <w:sz w:val="24"/>
        </w:rPr>
        <w:t xml:space="preserve"> – ostvareni su u iznosu od 4.877,29 eura i u najvećoj mjeri se odnose na prihode od redovnih kamata po danim zajmovima iz ranijih razdoblja;</w:t>
      </w:r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Prihodi od prodaje proizvoda i roba te pruženih usluga</w:t>
      </w:r>
      <w:r>
        <w:rPr>
          <w:rFonts w:ascii="Times New Roman" w:hAnsi="Times New Roman" w:cs="Times New Roman"/>
          <w:sz w:val="24"/>
        </w:rPr>
        <w:t xml:space="preserve"> – ostvareni su u sveukupnom iznosu od 148.078,86 eura, a odnose</w:t>
      </w:r>
      <w:r w:rsidR="009D1F75">
        <w:rPr>
          <w:rFonts w:ascii="Times New Roman" w:hAnsi="Times New Roman" w:cs="Times New Roman"/>
          <w:sz w:val="24"/>
        </w:rPr>
        <w:t xml:space="preserve"> se</w:t>
      </w:r>
      <w:r>
        <w:rPr>
          <w:rFonts w:ascii="Times New Roman" w:hAnsi="Times New Roman" w:cs="Times New Roman"/>
          <w:sz w:val="24"/>
        </w:rPr>
        <w:t xml:space="preserve"> na prihode od naknade za realiziranu prodaju dionica/poslovnih udjela i naknade za naplaćenu dividendu za trgovačka društva iz portfelja Republike Hrvatske i Hrvatskog zavoda za mirovinsko osiguranje sukladno odredbama Odluke o visini naknade za upravljanje i raspolaganje dionicama i udjelima kojima upravlja Centar za restrukturiranje i prodaju („Narodne novine“ broj 39/2019), na prihode od izdane ponudbene dokumentacije, na prihode od izdanih iskaza nekretnina i na prihode od pruženih usluga fotokopiranja;</w:t>
      </w:r>
      <w:bookmarkStart w:id="0" w:name="_GoBack"/>
      <w:bookmarkEnd w:id="0"/>
    </w:p>
    <w:p w:rsidR="00847200" w:rsidRDefault="006431D2">
      <w:pPr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Ostali prihodi</w:t>
      </w:r>
      <w:r>
        <w:rPr>
          <w:rFonts w:ascii="Times New Roman" w:hAnsi="Times New Roman" w:cs="Times New Roman"/>
          <w:sz w:val="24"/>
        </w:rPr>
        <w:t xml:space="preserve"> – ostvareni su u iznosu od 64.081,73 eura, a odnose se na prihode od parničnih troškova (912,05 eura), prihode po sklopljenim nagodbama i sporazumima te </w:t>
      </w:r>
      <w:r>
        <w:rPr>
          <w:rFonts w:ascii="Times New Roman" w:hAnsi="Times New Roman" w:cs="Times New Roman"/>
          <w:sz w:val="24"/>
        </w:rPr>
        <w:lastRenderedPageBreak/>
        <w:t>prihode iz predstečaja (8.402,25 eura), prihode od režijskih troškova koji se u najvećoj mjeri odnose na refundaciju troškova sukladno Sporazumu o raspodjeli i načinu plaćanja troškova nekretnine u Zagrebu, Ivana Lučića 6-8 od 25.07.2017. godine (44.025,25 eura), prihode od nadoknade troškova od upravljanja dionicama i poslovnim udjelima (10.136,46 eura) te na ostale prihode (605,72 eura).</w:t>
      </w: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>PRIHODI OD PRODAJE NEFINANCIJSKE IMOVINE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je za 2023. godinu planirao prihode od prodaje nefinancijske imovine u iznosu od 79.600,00 eura, a za izvještajno razdoblje od siječnja do kraja lipnja 2023. godine isti su ostvareni u iznosu od 26.258,71 euro ili 32,99% plana i odnose se na prihode od prodanih nekretnina u vlasništvu Centra te na prihode od stanova na kojima postoji stanarsko pravo po kojima su potraživanja prenesena na pravne prednike Centra temeljem rješenja trgovačkih sudova. </w:t>
      </w:r>
    </w:p>
    <w:p w:rsidR="00847200" w:rsidRDefault="006431D2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624"/>
        <w:gridCol w:w="1499"/>
        <w:gridCol w:w="1499"/>
        <w:gridCol w:w="1498"/>
        <w:gridCol w:w="937"/>
        <w:gridCol w:w="937"/>
      </w:tblGrid>
      <w:tr w:rsidR="00847200">
        <w:tc>
          <w:tcPr>
            <w:tcW w:w="14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460E2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6431D2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847200">
        <w:tc>
          <w:tcPr>
            <w:tcW w:w="14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847200">
        <w:tc>
          <w:tcPr>
            <w:tcW w:w="1400" w:type="pct"/>
            <w:vAlign w:val="center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1.351.369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8.360.875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1.998.937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147,9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23,9</w:t>
            </w:r>
          </w:p>
        </w:tc>
      </w:tr>
      <w:tr w:rsidR="00847200">
        <w:tc>
          <w:tcPr>
            <w:tcW w:w="14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8.844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216.400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49.485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559,5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22,9</w:t>
            </w:r>
          </w:p>
        </w:tc>
      </w:tr>
      <w:tr w:rsidR="00847200">
        <w:tc>
          <w:tcPr>
            <w:tcW w:w="14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1.360.213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8.577.275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2.048.422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150,6</w:t>
            </w:r>
          </w:p>
        </w:tc>
        <w:tc>
          <w:tcPr>
            <w:tcW w:w="5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23,9</w:t>
            </w:r>
          </w:p>
        </w:tc>
      </w:tr>
    </w:tbl>
    <w:p w:rsidR="00847200" w:rsidRDefault="00847200">
      <w:pPr>
        <w:spacing w:after="0" w:line="240" w:lineRule="auto"/>
      </w:pP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>RASHODI POSLOVANJA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Centar je za 2023. godinu planirao rashode poslovanja u iznosu od 8.360.875,00 eura, a za izvještajno razdoblje od siječnja do kraja lipnja 2023. godine isti su </w:t>
      </w:r>
      <w:r w:rsidR="00572617">
        <w:rPr>
          <w:rFonts w:ascii="Times New Roman" w:hAnsi="Times New Roman" w:cs="Times New Roman"/>
          <w:sz w:val="24"/>
        </w:rPr>
        <w:t>izvršeni</w:t>
      </w:r>
      <w:r>
        <w:rPr>
          <w:rFonts w:ascii="Times New Roman" w:hAnsi="Times New Roman" w:cs="Times New Roman"/>
          <w:sz w:val="24"/>
        </w:rPr>
        <w:t xml:space="preserve"> u iznosu od 1.998.936,94 eura ili 23,91% plana i odnose se na:</w:t>
      </w:r>
    </w:p>
    <w:p w:rsidR="00847200" w:rsidRDefault="006431D2">
      <w:pPr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Rashodi za zaposlene</w:t>
      </w:r>
      <w:r>
        <w:rPr>
          <w:rFonts w:ascii="Times New Roman" w:hAnsi="Times New Roman" w:cs="Times New Roman"/>
          <w:sz w:val="24"/>
        </w:rPr>
        <w:t xml:space="preserve"> – izvršeni su u iznosu od 1.053.384,21 euro, a odnose se na bruto plaće i doprinose te na isplate jubilarnih nagrada, pomoći i slično;</w:t>
      </w:r>
    </w:p>
    <w:p w:rsidR="00847200" w:rsidRDefault="006431D2">
      <w:pPr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Materijalni rashodi</w:t>
      </w:r>
      <w:r>
        <w:rPr>
          <w:rFonts w:ascii="Times New Roman" w:hAnsi="Times New Roman" w:cs="Times New Roman"/>
          <w:sz w:val="24"/>
        </w:rPr>
        <w:t xml:space="preserve"> – izvršeni su u iznosu 459.609,66 eura, a odnose se na naknade troškova zaposlenima u iznosu od 34.208,23 eura, rashode za materijal i energiju u iznosu od 95.916,58 eura, rashode za usluge u iznosu od 297.722,44 eura (od toga intelektualne i osobne usluge iznose 197.445,96 eura) te na ostale nespomenute rashode poslovanja u iznosu od 31.762,41 euro (od toga troškovi sudskih postupaka iznose 21.056,84 eura);</w:t>
      </w:r>
    </w:p>
    <w:p w:rsidR="00847200" w:rsidRDefault="006431D2">
      <w:pPr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Financijski rashodi</w:t>
      </w:r>
      <w:r>
        <w:rPr>
          <w:rFonts w:ascii="Times New Roman" w:hAnsi="Times New Roman" w:cs="Times New Roman"/>
          <w:sz w:val="24"/>
        </w:rPr>
        <w:t xml:space="preserve"> – izvršeni su u iznosu od 10.583,53 eura, a odnose se na bankarske usluge i usluge platnog prometa u iznosu od 4.098,52 eura te na zatezne kamate u iznosu od 6.485,01 euro;</w:t>
      </w:r>
    </w:p>
    <w:p w:rsidR="00847200" w:rsidRDefault="006431D2">
      <w:pPr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Naknade građanima i kućanstvima na temelju osiguranja i druge naknade – </w:t>
      </w:r>
      <w:r>
        <w:rPr>
          <w:rFonts w:ascii="Times New Roman" w:hAnsi="Times New Roman" w:cs="Times New Roman"/>
          <w:sz w:val="24"/>
        </w:rPr>
        <w:t>izvršeni su u iznosu od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475.359,54 eura, a odnose se na podmirenje tražbina radnika društva Orljava d.o.o. u stečaju sukladno Odluci Vlade Republike Hrvatske o sklapanju ugovora o prijenosu tražbina radnika društva Orljava d.o.o. u stečaju kao stečajnih vjerovnika prvog višeg isplatnog reda prema stečajnom dužniku Orljava d.o.o. u stečaju od 02. ožujka 2023. godine.</w:t>
      </w: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>RASHODI ZA NABAVU NEFINANCIJSKE IMOVINE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Centar je za 2023. godinu planirao rashode za nabavu nefinancijske imovine u iznosu od 216.400,00 eura, a u izvještajnom razdoblju od siječnja do kraja lipnja 2023. godine isti </w:t>
      </w:r>
      <w:r>
        <w:rPr>
          <w:rFonts w:ascii="Times New Roman" w:hAnsi="Times New Roman" w:cs="Times New Roman"/>
          <w:sz w:val="24"/>
        </w:rPr>
        <w:lastRenderedPageBreak/>
        <w:t>su izvršeni u iznosu od 49.485,03 eura ili 22,87% plana i odnose se na nabavu uredske opreme i namještaja u iznosu 701,25 eura te na nabavu servera u iznosu od 48.783,78 eura.</w:t>
      </w:r>
    </w:p>
    <w:p w:rsidR="00847200" w:rsidRDefault="006431D2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847200" w:rsidRDefault="006431D2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497"/>
        <w:gridCol w:w="1799"/>
        <w:gridCol w:w="1799"/>
        <w:gridCol w:w="899"/>
      </w:tblGrid>
      <w:tr w:rsidR="00847200">
        <w:tc>
          <w:tcPr>
            <w:tcW w:w="2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460E2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6431D2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847200">
        <w:tc>
          <w:tcPr>
            <w:tcW w:w="2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847200">
        <w:tc>
          <w:tcPr>
            <w:tcW w:w="2500" w:type="pct"/>
            <w:vAlign w:val="center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5.671.975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1.239.013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21,8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8.577.275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2.048.422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23,9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-2.905.300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-809.409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27,9</w:t>
            </w:r>
          </w:p>
        </w:tc>
      </w:tr>
    </w:tbl>
    <w:p w:rsidR="00847200" w:rsidRDefault="00847200">
      <w:pPr>
        <w:spacing w:after="0" w:line="240" w:lineRule="auto"/>
      </w:pPr>
    </w:p>
    <w:p w:rsidR="00847200" w:rsidRDefault="006431D2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497"/>
        <w:gridCol w:w="1799"/>
        <w:gridCol w:w="1799"/>
        <w:gridCol w:w="899"/>
      </w:tblGrid>
      <w:tr w:rsidR="00847200">
        <w:tc>
          <w:tcPr>
            <w:tcW w:w="2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460E2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 w:rsidR="006431D2"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847200">
        <w:tc>
          <w:tcPr>
            <w:tcW w:w="25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847200" w:rsidRDefault="006431D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847200">
        <w:tc>
          <w:tcPr>
            <w:tcW w:w="2500" w:type="pct"/>
            <w:vAlign w:val="center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2.562.700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1.857.792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72,5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47200" w:rsidRDefault="00847200">
            <w:pPr>
              <w:spacing w:after="0" w:line="240" w:lineRule="auto"/>
              <w:jc w:val="right"/>
            </w:pP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2.562.700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1.857.792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72,5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31.042.724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25.481.453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82,1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-30.700.124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-26.529.836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86,4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2.905.300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809.409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27,9</w:t>
            </w:r>
          </w:p>
        </w:tc>
      </w:tr>
      <w:tr w:rsidR="00847200">
        <w:tc>
          <w:tcPr>
            <w:tcW w:w="2500" w:type="pct"/>
            <w:vAlign w:val="bottom"/>
          </w:tcPr>
          <w:p w:rsidR="00847200" w:rsidRDefault="006431D2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47200" w:rsidRDefault="006431D2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847200" w:rsidRDefault="00847200">
            <w:pPr>
              <w:spacing w:after="0" w:line="240" w:lineRule="auto"/>
              <w:jc w:val="right"/>
            </w:pPr>
          </w:p>
        </w:tc>
      </w:tr>
    </w:tbl>
    <w:p w:rsidR="00847200" w:rsidRDefault="00847200">
      <w:pPr>
        <w:spacing w:after="0" w:line="240" w:lineRule="auto"/>
      </w:pP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>PRIMICI OD FINANCIJSKE IMOVINE I ZADUŽIVANJA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je za 2023. godinu planirao primitke od financijske imovine i zaduživanja u iznosu od 2.562.700,00 eura, a u izvještajnom razdoblju od siječnja do kraja lipnja 2023. godine isti su ostvareni u iznosu od 1.857.791,71 eura ili 72,49% plana i odnose se na:</w:t>
      </w:r>
    </w:p>
    <w:p w:rsidR="00847200" w:rsidRDefault="006431D2">
      <w:pPr>
        <w:numPr>
          <w:ilvl w:val="0"/>
          <w:numId w:val="3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Primljeni povrati glavnica danih zajmova i depozita</w:t>
      </w:r>
      <w:r>
        <w:rPr>
          <w:rFonts w:ascii="Times New Roman" w:hAnsi="Times New Roman" w:cs="Times New Roman"/>
          <w:sz w:val="24"/>
        </w:rPr>
        <w:t xml:space="preserve"> - ostvareni su u iznosu od 1.031.032,78 eura, a odnose se na primitke (povrate) glavnice zajmova (DE-FOS d.o.o., Kutina), na primitke po sklopljenim predstečajnim nagodbama (ADRIADIESEL d.d., Karlovac) te stečajnim postupcima (G.H.B. d.o.o. u stečaju, Opatija).</w:t>
      </w:r>
    </w:p>
    <w:p w:rsidR="00847200" w:rsidRDefault="006431D2">
      <w:pPr>
        <w:numPr>
          <w:ilvl w:val="0"/>
          <w:numId w:val="3"/>
        </w:num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Primici od prodaje dionica i udjela u glavnici</w:t>
      </w:r>
      <w:r>
        <w:rPr>
          <w:rFonts w:ascii="Times New Roman" w:hAnsi="Times New Roman" w:cs="Times New Roman"/>
          <w:sz w:val="24"/>
        </w:rPr>
        <w:t xml:space="preserve"> - ostvareni su u ukupnom iznosu od 826.758,93 eura, a u najvećoj mjeri se odnose na primitke od prodanih dionica/poslovnih udjela u vlasništvu Centra u ukupnom iznosu od 757.880,81 euro (VALAMAR RIVIERA d.d., Poreč, BC INSTITUT d.d., Rugvica, ATLANTSKA PLOVIDBA d.d., Dubrovnik, PLAVA LAGUNA d.d., Poreč, SOLARIS d.d., Šibenik, ARENA HOSPITALITY GROUP d.d., Pula) i na uplate od „malih dioničara“ u ukupnom iznosu od 68.878,12 eura.</w:t>
      </w:r>
    </w:p>
    <w:p w:rsidR="00847200" w:rsidRDefault="006431D2">
      <w:pPr>
        <w:spacing w:line="240" w:lineRule="auto"/>
        <w:ind w:left="566" w:hanging="566"/>
        <w:jc w:val="both"/>
      </w:pPr>
      <w:r>
        <w:rPr>
          <w:rFonts w:ascii="Times New Roman" w:hAnsi="Times New Roman" w:cs="Times New Roman"/>
          <w:sz w:val="24"/>
        </w:rPr>
        <w:t>IZDACI ZA FINANCIJSKU IMOVINU I OTPLATE ZAJMOVA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nije za 2023. godinu planirao niti izvršio izdatke za financijsku imovinu i otplate zajmova.</w:t>
      </w:r>
    </w:p>
    <w:p w:rsidR="00847200" w:rsidRPr="006431D2" w:rsidRDefault="006431D2" w:rsidP="006431D2">
      <w:pPr>
        <w:jc w:val="both"/>
        <w:rPr>
          <w:rFonts w:ascii="Times New Roman" w:hAnsi="Times New Roman" w:cs="Times New Roman"/>
          <w:sz w:val="24"/>
        </w:rPr>
      </w:pPr>
      <w:r w:rsidRPr="006431D2">
        <w:rPr>
          <w:rFonts w:ascii="Times New Roman" w:hAnsi="Times New Roman" w:cs="Times New Roman"/>
          <w:sz w:val="24"/>
        </w:rPr>
        <w:lastRenderedPageBreak/>
        <w:t>PRIJENOS SREDSTAVA IZ PRETHODNE GODINE I PRIJENOS SREDSTAVA U SLJEDEĆE RAZDOBLJE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je za 2023. godinu planirao prijenos sredstava iz prethodne godine u iznosu od 31.042.724,00 eura, a u izvještajnom razdoblju od siječnja do kraja lipnja 2023. godine isti je ostvaren u iznosu od 25.481.453,24 eura ili 82,09% plana i u najvećoj mjeri se odnose na sredstva ostvarena od primitaka od financijske imovine Centra iz prethodnih godina.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je za 2023. godinu planirao prijenos sredstava u sljedeće razdoblje u iznosu od 30.700.124,00 eura, a u izvještajnom razdoblju od siječnja do kraja lipnja 2023. godine isti su ostvareni u iznosu od 26.529.835,88 eura ili 86,42% plana i koristit će se za podmirenje tekućih obveza Centra.</w:t>
      </w:r>
    </w:p>
    <w:p w:rsidR="00847200" w:rsidRDefault="006431D2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br/>
        <w:t>IZVJEŠTAJ O ZADUŽIVANJU NA DOMAĆEM I STRANOM TRŽIŠTU NOVCA I KAPITALA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se u izvještajnom razdoblju nije zaduživao na domaćem i stranom tržištu novca i kapitala niti trenutno ima u otplati dugoročne kredite i zajmove. </w:t>
      </w:r>
    </w:p>
    <w:p w:rsidR="00847200" w:rsidRDefault="006431D2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br/>
        <w:t xml:space="preserve">IZVJEŠTAJ O DANIM JAMSTVIMA I PLAĆANJIMA PO PROTESTIRANIM JAMSTVIMA </w:t>
      </w:r>
    </w:p>
    <w:p w:rsidR="00847200" w:rsidRDefault="006431D2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Centar u izvještajnom razdoblju nije davao jamstva niti je imao izvršenih plaćanja po protestiranim jamstvima. </w:t>
      </w:r>
    </w:p>
    <w:sectPr w:rsidR="00847200" w:rsidSect="002B7C0D">
      <w:footerReference w:type="default" r:id="rId7"/>
      <w:pgSz w:w="11906" w:h="16838" w:code="9"/>
      <w:pgMar w:top="1417" w:right="1417" w:bottom="1417" w:left="1417" w:header="720" w:footer="720" w:gutter="0"/>
      <w:pgNumType w:start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0E" w:rsidRDefault="00DB630E" w:rsidP="00DB630E">
      <w:pPr>
        <w:spacing w:after="0" w:line="240" w:lineRule="auto"/>
      </w:pPr>
      <w:r>
        <w:separator/>
      </w:r>
    </w:p>
  </w:endnote>
  <w:endnote w:type="continuationSeparator" w:id="0">
    <w:p w:rsidR="00DB630E" w:rsidRDefault="00DB630E" w:rsidP="00DB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6957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630E" w:rsidRPr="00DB630E" w:rsidRDefault="00DB630E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6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6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7C0D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B6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630E" w:rsidRDefault="00DB630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0E" w:rsidRDefault="00DB630E" w:rsidP="00DB630E">
      <w:pPr>
        <w:spacing w:after="0" w:line="240" w:lineRule="auto"/>
      </w:pPr>
      <w:r>
        <w:separator/>
      </w:r>
    </w:p>
  </w:footnote>
  <w:footnote w:type="continuationSeparator" w:id="0">
    <w:p w:rsidR="00DB630E" w:rsidRDefault="00DB630E" w:rsidP="00DB6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442BB"/>
    <w:multiLevelType w:val="singleLevel"/>
    <w:tmpl w:val="69C2BE76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1" w15:restartNumberingAfterBreak="0">
    <w:nsid w:val="13FE2F81"/>
    <w:multiLevelType w:val="singleLevel"/>
    <w:tmpl w:val="37D09A4A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2" w15:restartNumberingAfterBreak="0">
    <w:nsid w:val="1A2F2F1D"/>
    <w:multiLevelType w:val="singleLevel"/>
    <w:tmpl w:val="5A8047C4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3" w15:restartNumberingAfterBreak="0">
    <w:nsid w:val="1AA72371"/>
    <w:multiLevelType w:val="singleLevel"/>
    <w:tmpl w:val="ABBA6844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4" w15:restartNumberingAfterBreak="0">
    <w:nsid w:val="2E327703"/>
    <w:multiLevelType w:val="singleLevel"/>
    <w:tmpl w:val="E46CC550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5" w15:restartNumberingAfterBreak="0">
    <w:nsid w:val="3F2E11C1"/>
    <w:multiLevelType w:val="singleLevel"/>
    <w:tmpl w:val="9D20707C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6" w15:restartNumberingAfterBreak="0">
    <w:nsid w:val="4292201E"/>
    <w:multiLevelType w:val="singleLevel"/>
    <w:tmpl w:val="894EF04C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7" w15:restartNumberingAfterBreak="0">
    <w:nsid w:val="567A3DAD"/>
    <w:multiLevelType w:val="singleLevel"/>
    <w:tmpl w:val="B682272E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8" w15:restartNumberingAfterBreak="0">
    <w:nsid w:val="5C283FFF"/>
    <w:multiLevelType w:val="singleLevel"/>
    <w:tmpl w:val="9C9213DC"/>
    <w:name w:val="decimal-heading-multi"/>
    <w:lvl w:ilvl="0">
      <w:start w:val="1"/>
      <w:numFmt w:val="decimal"/>
      <w:lvlText w:val="%1."/>
      <w:lvlJc w:val="left"/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200"/>
    <w:rsid w:val="0010127A"/>
    <w:rsid w:val="002B7C0D"/>
    <w:rsid w:val="00460E2A"/>
    <w:rsid w:val="00572617"/>
    <w:rsid w:val="006431D2"/>
    <w:rsid w:val="00847200"/>
    <w:rsid w:val="009D1F75"/>
    <w:rsid w:val="00BF2AA2"/>
    <w:rsid w:val="00DB630E"/>
    <w:rsid w:val="00E1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897F7-B3ED-4E2D-9AE7-3DB18773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B6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630E"/>
  </w:style>
  <w:style w:type="paragraph" w:styleId="Podnoje">
    <w:name w:val="footer"/>
    <w:basedOn w:val="Normal"/>
    <w:link w:val="PodnojeChar"/>
    <w:uiPriority w:val="99"/>
    <w:unhideWhenUsed/>
    <w:rsid w:val="00DB6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B630E"/>
  </w:style>
  <w:style w:type="paragraph" w:styleId="Tekstbalonia">
    <w:name w:val="Balloon Text"/>
    <w:basedOn w:val="Normal"/>
    <w:link w:val="TekstbaloniaChar"/>
    <w:uiPriority w:val="99"/>
    <w:semiHidden/>
    <w:unhideWhenUsed/>
    <w:rsid w:val="002B7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7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10</cp:revision>
  <cp:lastPrinted>2023-09-14T11:14:00Z</cp:lastPrinted>
  <dcterms:created xsi:type="dcterms:W3CDTF">2023-08-29T12:03:00Z</dcterms:created>
  <dcterms:modified xsi:type="dcterms:W3CDTF">2023-09-14T11:16:00Z</dcterms:modified>
</cp:coreProperties>
</file>