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9C" w:rsidRDefault="001D4F4C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t>OBRAZLOŽENJE IZVRŠENJA FINANCIJSKOG PLANA HRVATSKE AGENCIJE ZA OSIGURANJE DEPOZITA ZA PRVO POLUGODIŠTE 2023. GODINE</w:t>
      </w:r>
    </w:p>
    <w:p w:rsidR="0030589C" w:rsidRDefault="001D4F4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30589C">
        <w:tc>
          <w:tcPr>
            <w:tcW w:w="14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0589C">
        <w:tc>
          <w:tcPr>
            <w:tcW w:w="14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30589C">
        <w:tc>
          <w:tcPr>
            <w:tcW w:w="14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34.572.382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25.653.760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34.054.127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98,5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132,7</w:t>
            </w:r>
          </w:p>
        </w:tc>
      </w:tr>
      <w:tr w:rsidR="0030589C">
        <w:tc>
          <w:tcPr>
            <w:tcW w:w="14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30589C" w:rsidRPr="00321460" w:rsidRDefault="003214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321460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Pr="00321460" w:rsidRDefault="003214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321460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Pr="00321460" w:rsidRDefault="003214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</w:rPr>
            </w:pPr>
            <w:r w:rsidRPr="00321460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30589C" w:rsidRDefault="0030589C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30589C" w:rsidRDefault="0030589C">
            <w:pPr>
              <w:spacing w:after="0" w:line="240" w:lineRule="auto"/>
              <w:jc w:val="right"/>
            </w:pPr>
          </w:p>
        </w:tc>
      </w:tr>
      <w:tr w:rsidR="0030589C">
        <w:tc>
          <w:tcPr>
            <w:tcW w:w="14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34.572.382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25.653.760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34.054.127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98,5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132,7</w:t>
            </w:r>
          </w:p>
        </w:tc>
      </w:tr>
    </w:tbl>
    <w:p w:rsidR="0030589C" w:rsidRDefault="0030589C">
      <w:pPr>
        <w:spacing w:after="0" w:line="240" w:lineRule="auto"/>
      </w:pP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poslovanja Hrvatske agencije za osiguranje depozita (u daljnjem tekstu: Agencija) u prvom polugodištu 2023. godine iznose 34.054.126,96 EUR, a što je 1,50% manje u odnosu na isto razdoblje prethodne godine. 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odnosu na plan, porast realizacije odnosi se na naplatu potraživanja iz stečajnih i likvidacijskih postupaka banaka čija realizacija je neizvjesna pa se samim time ne može niti planirati.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Prihode Agencije čine:</w:t>
      </w:r>
    </w:p>
    <w:p w:rsidR="0030589C" w:rsidRDefault="001D4F4C" w:rsidP="0032146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1.  Prihodi od imovine u ukupnom iznosu 261.346,99 EUR, što predstavlja pad od 26,47% u odnosu na isto razdoblje prethodne godine.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    Prihodi od imovine odnose se na prihode od financijske imovine (prihodi od kamata po vrijednosnim papirima i depozita po viđenju).</w:t>
      </w:r>
    </w:p>
    <w:p w:rsidR="0030589C" w:rsidRDefault="001D4F4C" w:rsidP="00321460">
      <w:pPr>
        <w:spacing w:line="240" w:lineRule="auto"/>
        <w:ind w:right="29"/>
        <w:jc w:val="both"/>
      </w:pPr>
      <w:r>
        <w:rPr>
          <w:rFonts w:ascii="Times New Roman" w:hAnsi="Times New Roman" w:cs="Times New Roman"/>
          <w:sz w:val="24"/>
        </w:rPr>
        <w:t xml:space="preserve"> 2.  Prihodi od upravnih i administrativnih pristojbi, pristojbi po posebnim propisima i naknada u ukupnom iznosu od 33.782.270,23 EUR, što predstavlja pad od 1,23% u odnosu na isto razdoblje prethodne  godine. </w:t>
      </w:r>
    </w:p>
    <w:p w:rsidR="0030589C" w:rsidRDefault="001D4F4C">
      <w:pPr>
        <w:spacing w:line="240" w:lineRule="auto"/>
        <w:ind w:right="29"/>
        <w:jc w:val="both"/>
      </w:pPr>
      <w:r>
        <w:rPr>
          <w:rFonts w:ascii="Times New Roman" w:hAnsi="Times New Roman" w:cs="Times New Roman"/>
          <w:sz w:val="24"/>
        </w:rPr>
        <w:t>    Prihode od upravnih i administrativnih pristojbi, pristojbi po posebnim propisima i naknada čine:</w:t>
      </w:r>
    </w:p>
    <w:p w:rsidR="0030589C" w:rsidRDefault="00321460" w:rsidP="0032146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 xml:space="preserve">-    </w:t>
      </w:r>
      <w:r w:rsidR="001D4F4C">
        <w:rPr>
          <w:rFonts w:ascii="Times New Roman" w:hAnsi="Times New Roman" w:cs="Times New Roman"/>
          <w:sz w:val="24"/>
        </w:rPr>
        <w:t xml:space="preserve">Prihodi od naplate potraživanja iz stečajne mase banaka i štedionica, likvidacije, u iznosu 9.479.081,22 EUR. </w:t>
      </w:r>
    </w:p>
    <w:p w:rsidR="0030589C" w:rsidRDefault="001D4F4C" w:rsidP="00321460">
      <w:pPr>
        <w:spacing w:line="240" w:lineRule="auto"/>
        <w:ind w:left="851"/>
        <w:jc w:val="both"/>
      </w:pPr>
      <w:r>
        <w:rPr>
          <w:rFonts w:ascii="Times New Roman" w:hAnsi="Times New Roman" w:cs="Times New Roman"/>
          <w:sz w:val="24"/>
        </w:rPr>
        <w:t xml:space="preserve">Na ovoj pozicija iskazani su prihodi čija realizacija ovisi o eksternim faktorima (vođenju stečajnih postupaka koji nisu u nadležnosti Agencije), čija naplata nije linearna i kontinuirana, te su moguća značajna odstupanja realizacije u odnosu na plan u različitim izvještajnim razdobljima.  </w:t>
      </w:r>
    </w:p>
    <w:p w:rsidR="0030589C" w:rsidRDefault="00321460" w:rsidP="0032146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 </w:t>
      </w:r>
      <w:r w:rsidR="001D4F4C">
        <w:rPr>
          <w:rFonts w:ascii="Times New Roman" w:hAnsi="Times New Roman" w:cs="Times New Roman"/>
          <w:sz w:val="24"/>
        </w:rPr>
        <w:t>Prihodi od premija na osigurane depozite u iznosu 23.584.145,34 EUR, a koji ovise o razini ukupno osiguranih depozita kod banaka</w:t>
      </w:r>
    </w:p>
    <w:p w:rsidR="0030589C" w:rsidRDefault="00321460" w:rsidP="0032146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  </w:t>
      </w:r>
      <w:r w:rsidR="001D4F4C">
        <w:rPr>
          <w:rFonts w:ascii="Times New Roman" w:hAnsi="Times New Roman" w:cs="Times New Roman"/>
          <w:sz w:val="24"/>
        </w:rPr>
        <w:t>Sanacijski doprinos u iznosu 719.043,67 EUR</w:t>
      </w:r>
    </w:p>
    <w:p w:rsidR="0030589C" w:rsidRDefault="001D4F4C" w:rsidP="001D4F4C">
      <w:pPr>
        <w:spacing w:line="240" w:lineRule="auto"/>
        <w:ind w:left="851"/>
        <w:jc w:val="both"/>
      </w:pPr>
      <w:r>
        <w:rPr>
          <w:rFonts w:ascii="Times New Roman" w:hAnsi="Times New Roman" w:cs="Times New Roman"/>
          <w:sz w:val="24"/>
        </w:rPr>
        <w:t xml:space="preserve">U prvom polugodištu 2023. godine prihod od sanacijskog doprinosa bilježi rast u odnosu na plan. Prikupljene sanacijske doprinose Agencija prenosi u Jedinstveni sanacijski fond, sukladno Međudržavnom sporazumu o jedinstvenom sanacijskom </w:t>
      </w:r>
      <w:r>
        <w:rPr>
          <w:rFonts w:ascii="Times New Roman" w:hAnsi="Times New Roman" w:cs="Times New Roman"/>
          <w:sz w:val="24"/>
        </w:rPr>
        <w:lastRenderedPageBreak/>
        <w:t>fondu. Agencija je izvršila prijenos sredstava u Jedinstveni sanacijski fond dana 29.06.2023. godine u iznosu od 15.026.629,92 EUR, što čine sredstva prikupljena u sanacijski fond u ovom i prethodnim izvještajnim razdobljima. Ujedno, očekuje se da navedeni prijenos sredstava predstavlja posljednji prijenos koji se izvršio obzirom da je dosegnuta predviđena ciljana razina. </w:t>
      </w:r>
    </w:p>
    <w:p w:rsidR="0030589C" w:rsidRDefault="001D4F4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24"/>
        <w:gridCol w:w="1499"/>
        <w:gridCol w:w="1499"/>
        <w:gridCol w:w="1498"/>
        <w:gridCol w:w="937"/>
        <w:gridCol w:w="937"/>
      </w:tblGrid>
      <w:tr w:rsidR="0030589C">
        <w:tc>
          <w:tcPr>
            <w:tcW w:w="14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2022.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0589C">
        <w:tc>
          <w:tcPr>
            <w:tcW w:w="14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30589C">
        <w:tc>
          <w:tcPr>
            <w:tcW w:w="1400" w:type="pct"/>
            <w:vAlign w:val="center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438.305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1.341.148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554.174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126,4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41,3</w:t>
            </w:r>
          </w:p>
        </w:tc>
      </w:tr>
      <w:tr w:rsidR="0030589C">
        <w:tc>
          <w:tcPr>
            <w:tcW w:w="14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223.782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65.163</w:t>
            </w:r>
          </w:p>
        </w:tc>
        <w:tc>
          <w:tcPr>
            <w:tcW w:w="500" w:type="pct"/>
            <w:vAlign w:val="bottom"/>
          </w:tcPr>
          <w:p w:rsidR="0030589C" w:rsidRDefault="0030589C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29,1</w:t>
            </w:r>
          </w:p>
        </w:tc>
      </w:tr>
      <w:tr w:rsidR="0030589C">
        <w:tc>
          <w:tcPr>
            <w:tcW w:w="14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438.305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1.564.930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619.337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141,3</w:t>
            </w:r>
          </w:p>
        </w:tc>
        <w:tc>
          <w:tcPr>
            <w:tcW w:w="5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39,6</w:t>
            </w:r>
          </w:p>
        </w:tc>
      </w:tr>
    </w:tbl>
    <w:p w:rsidR="0030589C" w:rsidRDefault="0030589C">
      <w:pPr>
        <w:spacing w:after="0" w:line="240" w:lineRule="auto"/>
      </w:pP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Ukupni rashodi Agencije u prvom polugodištu 2023. godine iznose 619.336.97 EUR, što predstavlja povećanje od 26,4% u odnosu na isto razdoblje prethodne godine.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Ukupne rashode Agencije čine rashodi poslovanja i rashodi za nabavu nefinancijske imovine:</w:t>
      </w:r>
    </w:p>
    <w:p w:rsidR="0030589C" w:rsidRDefault="001D4F4C" w:rsidP="00250ED0">
      <w:pPr>
        <w:spacing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</w:rPr>
        <w:t>1.   Rashodi poslovanja u prvom polugodištu 2023. godine iznose 554.173,57 EUR, što je za 26,40% više u odnosu na isto razdoblje prethodne godine. </w:t>
      </w:r>
    </w:p>
    <w:p w:rsidR="0030589C" w:rsidRDefault="001D4F4C" w:rsidP="00250ED0">
      <w:pPr>
        <w:spacing w:line="240" w:lineRule="auto"/>
        <w:ind w:left="426"/>
        <w:jc w:val="both"/>
      </w:pPr>
      <w:r>
        <w:rPr>
          <w:rFonts w:ascii="Times New Roman" w:hAnsi="Times New Roman" w:cs="Times New Roman"/>
          <w:sz w:val="24"/>
        </w:rPr>
        <w:t>Rashodi poslovanja proizlaze iz kontinuiranog djelovanja Agencije, a odnose se na:</w:t>
      </w:r>
    </w:p>
    <w:p w:rsidR="0030589C" w:rsidRDefault="001D4F4C" w:rsidP="00250ED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</w:t>
      </w:r>
      <w:r w:rsidR="00250E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Rashodi za zaposlene u iznosu od 320.444,11 EUR (rast od 23,78% u odnosu na prethodno izvještajno razdoblje, koji je uzrokovan povratom djelatnica sa porodiljnog dopusta odnosno zamjenom djelatnika koji su otišli u mirovinu)</w:t>
      </w:r>
    </w:p>
    <w:p w:rsidR="0030589C" w:rsidRDefault="001D4F4C" w:rsidP="00250ED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  Materijalni rashodi u iznosu od 160.047,25 EUR (rast od 15,65% u odnosu na prethodno izvještajno razdoblje, što je rezultat porasta troškova najma i režijskih troškova)</w:t>
      </w:r>
    </w:p>
    <w:p w:rsidR="0030589C" w:rsidRDefault="001D4F4C" w:rsidP="00250ED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 Financijski rashodi u iznosu od 3.119,25 EUR (pad od 71,54% u odnosu na prethodno izvještajno razdoblje, što je posljedica smanjenja tečajnih razlika uslijed prelaska na euro)</w:t>
      </w:r>
    </w:p>
    <w:p w:rsidR="0030589C" w:rsidRDefault="001D4F4C" w:rsidP="00250ED0">
      <w:pPr>
        <w:spacing w:line="240" w:lineRule="auto"/>
        <w:ind w:left="851" w:hanging="360"/>
        <w:jc w:val="both"/>
      </w:pPr>
      <w:r>
        <w:rPr>
          <w:rFonts w:ascii="Times New Roman" w:hAnsi="Times New Roman" w:cs="Times New Roman"/>
          <w:sz w:val="24"/>
        </w:rPr>
        <w:t>-     Ostali rashodi u iznosu 70.562,96 EUR (rast od 134,54% u odnosu na prethodno izvještajno razdoblje, koji se odnose na troškove proizašle iz okončanja sudskih postupaka proizašlih iz sanacije, stečajeva i likvidacije banaka, započetih od 1995. godine na dalje, čije se trajanje i ishod nisu mogli predvidjeti niti  Agencija na njih može utjecati).</w:t>
      </w:r>
    </w:p>
    <w:p w:rsidR="0030589C" w:rsidRDefault="001D4F4C" w:rsidP="00250ED0">
      <w:pPr>
        <w:spacing w:line="240" w:lineRule="auto"/>
        <w:ind w:left="426" w:hanging="360"/>
        <w:jc w:val="both"/>
      </w:pPr>
      <w:r>
        <w:rPr>
          <w:rFonts w:ascii="Times New Roman" w:hAnsi="Times New Roman" w:cs="Times New Roman"/>
          <w:sz w:val="24"/>
        </w:rPr>
        <w:t>2.   Rashodi za nabavu nefinancijske imovine u prvom polugodištu 2023. godine iznose 65.163,40 EUR i odnose se na nabavu dugotrajne nematerijalne imovine (software).</w:t>
      </w:r>
    </w:p>
    <w:p w:rsidR="0025448B" w:rsidRDefault="0025448B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914408" w:rsidRDefault="00914408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914408" w:rsidRDefault="00914408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914408" w:rsidRDefault="00914408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30589C" w:rsidRDefault="001D4F4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RAČUN FINANCIRANJA</w:t>
      </w:r>
    </w:p>
    <w:p w:rsidR="0030589C" w:rsidRDefault="001D4F4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30589C">
        <w:tc>
          <w:tcPr>
            <w:tcW w:w="2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0589C">
        <w:tc>
          <w:tcPr>
            <w:tcW w:w="2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30589C">
        <w:tc>
          <w:tcPr>
            <w:tcW w:w="2500" w:type="pct"/>
            <w:vAlign w:val="center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25.653.760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34.054.127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132,7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1.564.930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619.337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39,6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24.088.830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33.434.790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138,8</w:t>
            </w:r>
          </w:p>
        </w:tc>
      </w:tr>
    </w:tbl>
    <w:p w:rsidR="0030589C" w:rsidRDefault="0030589C">
      <w:pPr>
        <w:spacing w:after="0" w:line="240" w:lineRule="auto"/>
      </w:pPr>
    </w:p>
    <w:p w:rsidR="0030589C" w:rsidRDefault="001D4F4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497"/>
        <w:gridCol w:w="1799"/>
        <w:gridCol w:w="1799"/>
        <w:gridCol w:w="899"/>
      </w:tblGrid>
      <w:tr w:rsidR="0030589C">
        <w:tc>
          <w:tcPr>
            <w:tcW w:w="2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REBALANS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2023.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30589C">
        <w:tc>
          <w:tcPr>
            <w:tcW w:w="25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30589C" w:rsidRDefault="001D4F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30589C">
        <w:tc>
          <w:tcPr>
            <w:tcW w:w="2500" w:type="pct"/>
            <w:vAlign w:val="center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Default="0030589C">
            <w:pPr>
              <w:spacing w:after="0" w:line="240" w:lineRule="auto"/>
              <w:jc w:val="right"/>
            </w:pP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14.989.000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29.629.345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197,7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30589C" w:rsidRDefault="00142374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</w:t>
            </w:r>
            <w:r w:rsidR="001D4F4C">
              <w:rPr>
                <w:rFonts w:ascii="Times New Roman" w:hAnsi="Times New Roman" w:cs="Times New Roman"/>
                <w:b/>
                <w:sz w:val="18"/>
              </w:rPr>
              <w:t>14.989.000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-29.629.345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-197,7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10.398.149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10.398.149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100</w:t>
            </w:r>
            <w:r w:rsidR="00142374">
              <w:rPr>
                <w:rFonts w:ascii="Times New Roman" w:hAnsi="Times New Roman" w:cs="Times New Roman"/>
                <w:sz w:val="18"/>
              </w:rPr>
              <w:t>,0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-19.497.979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-14.203.594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72,8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-24.088.830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-33.434.790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138,8</w:t>
            </w:r>
          </w:p>
        </w:tc>
      </w:tr>
      <w:tr w:rsidR="0030589C">
        <w:tc>
          <w:tcPr>
            <w:tcW w:w="2500" w:type="pct"/>
            <w:vAlign w:val="bottom"/>
          </w:tcPr>
          <w:p w:rsidR="0030589C" w:rsidRDefault="001D4F4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Default="001D4F4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30589C" w:rsidRDefault="0030589C">
            <w:pPr>
              <w:spacing w:after="0" w:line="240" w:lineRule="auto"/>
              <w:jc w:val="right"/>
            </w:pPr>
          </w:p>
        </w:tc>
      </w:tr>
    </w:tbl>
    <w:p w:rsidR="0030589C" w:rsidRDefault="0030589C">
      <w:pPr>
        <w:spacing w:after="0" w:line="240" w:lineRule="auto"/>
      </w:pP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Sukladno EU Direktivi o sustavima osiguranja depozita kao i temeljem Zakona o sustavu osiguranja depozita, sredstva Fonda osiguranja depozita koriste se isključivo za namjene utvrđene Zakonom o sustavu osiguranja depozita. 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Što se tiče raspoloživih sredstava prikupljenih u Fond osiguranja depozita, temeljem navedenog zakonskog okvira te investicijske politike Agencije, ulažu se isključivo u vrijednosne papire (trezorske zapise) Ministarstva financija i/ili obveznice Republike Hrvatske. Razlog tome je što navedena sredstva moraju u svakom trenutku biti raspoloživa za isplatu osiguranih depozita i zaštićena od bilo kakvih rizika propadanja kreditnih institucija, te u strukturi izdataka bilježi izvršenje u iznosu 14.602.715,12 EUR. U prvom polugodištu 2023. godine Agencija je uložila u trezorske zapise </w:t>
      </w:r>
      <w:r w:rsidR="00250ED0">
        <w:rPr>
          <w:rFonts w:ascii="Times New Roman" w:hAnsi="Times New Roman" w:cs="Times New Roman"/>
          <w:sz w:val="24"/>
        </w:rPr>
        <w:t xml:space="preserve">Ministarstva financija </w:t>
      </w:r>
      <w:r>
        <w:rPr>
          <w:rFonts w:ascii="Times New Roman" w:hAnsi="Times New Roman" w:cs="Times New Roman"/>
          <w:sz w:val="24"/>
        </w:rPr>
        <w:t>429.555.460,88 EUR, dok u istom razdoblju bilježi primitak od trezorskih zapisa Ministarstva financija u iznosu 444.158.176,00 EUR.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Što se tiče sanacijskog doprinosa, u 2023. godini, temeljem važećeg zakonodavnog okvira, od kreditnih institucija naplaćeno je 719.043,67 EUR, a u lipnju 2023. godine u Jedinstveni sanacijski fond preneseno je 15.026.629,92 EUR, što predstavlja sredstva prikupljena u ovom i prethodnim izvještajnim razdobljima.</w:t>
      </w:r>
    </w:p>
    <w:p w:rsidR="0030589C" w:rsidRPr="00914408" w:rsidRDefault="001D4F4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Sredstva raspoloživa za prijenos u slijedeće razdoblje iznose 14.203.593,56 EUR i predstavljaju sredstva Fonda za osiguranje depozita.</w:t>
      </w:r>
    </w:p>
    <w:p w:rsidR="0025448B" w:rsidRDefault="0025448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14408" w:rsidRDefault="0091440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14408" w:rsidRDefault="0091440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30589C" w:rsidRDefault="001D4F4C">
      <w:pPr>
        <w:spacing w:line="36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lastRenderedPageBreak/>
        <w:t>IZVJEŠTAJ O ZADUŽIVANJU NA DOMAĆEM I STRANOM TRŽIŠTU NOVCA I KAPITALA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ovom izvještajnom razdoblju Hrvatska agencija za osiguranje depozita se nije zaduživala na domaćem i stranom tržištu novca i kapitala.</w:t>
      </w:r>
    </w:p>
    <w:p w:rsidR="0030589C" w:rsidRDefault="001D4F4C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8"/>
        </w:rPr>
        <w:br/>
        <w:t xml:space="preserve">IZVJEŠTAJ O DANIM JAMSTVIMA I PLAĆANJIMA PO PROTESTIRANIM JAMSTVIMA </w:t>
      </w:r>
    </w:p>
    <w:p w:rsidR="0030589C" w:rsidRDefault="001D4F4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ovom izvještajnom razdoblju Hrvatska agencija za osiguranje depozita nije izdala jamstva niti izvršila plaćanja po protestiranim jamstvima.</w:t>
      </w:r>
    </w:p>
    <w:sectPr w:rsidR="0030589C" w:rsidSect="00426F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20" w:footer="720" w:gutter="0"/>
      <w:pgNumType w:start="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452" w:rsidRDefault="004B1452" w:rsidP="004B1452">
      <w:pPr>
        <w:spacing w:after="0" w:line="240" w:lineRule="auto"/>
      </w:pPr>
      <w:r>
        <w:separator/>
      </w:r>
    </w:p>
  </w:endnote>
  <w:endnote w:type="continuationSeparator" w:id="0">
    <w:p w:rsidR="004B1452" w:rsidRDefault="004B1452" w:rsidP="004B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52" w:rsidRDefault="004B145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84829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B1452" w:rsidRPr="004B1452" w:rsidRDefault="004B1452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14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14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14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01E4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B14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B1452" w:rsidRDefault="004B145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52" w:rsidRDefault="004B145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452" w:rsidRDefault="004B1452" w:rsidP="004B1452">
      <w:pPr>
        <w:spacing w:after="0" w:line="240" w:lineRule="auto"/>
      </w:pPr>
      <w:r>
        <w:separator/>
      </w:r>
    </w:p>
  </w:footnote>
  <w:footnote w:type="continuationSeparator" w:id="0">
    <w:p w:rsidR="004B1452" w:rsidRDefault="004B1452" w:rsidP="004B1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52" w:rsidRDefault="004B145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52" w:rsidRDefault="004B145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52" w:rsidRDefault="004B145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589C"/>
    <w:rsid w:val="00142374"/>
    <w:rsid w:val="001616F1"/>
    <w:rsid w:val="001D4F4C"/>
    <w:rsid w:val="00250ED0"/>
    <w:rsid w:val="0025448B"/>
    <w:rsid w:val="0030589C"/>
    <w:rsid w:val="00321460"/>
    <w:rsid w:val="00426AEE"/>
    <w:rsid w:val="00426F50"/>
    <w:rsid w:val="00440683"/>
    <w:rsid w:val="004B1452"/>
    <w:rsid w:val="004E01E4"/>
    <w:rsid w:val="006847C7"/>
    <w:rsid w:val="00914408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9CF0"/>
  <w15:docId w15:val="{44378F94-3454-4507-9D7F-D2A539C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B1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1452"/>
  </w:style>
  <w:style w:type="paragraph" w:styleId="Podnoje">
    <w:name w:val="footer"/>
    <w:basedOn w:val="Normal"/>
    <w:link w:val="PodnojeChar"/>
    <w:uiPriority w:val="99"/>
    <w:unhideWhenUsed/>
    <w:rsid w:val="004B1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1452"/>
  </w:style>
  <w:style w:type="paragraph" w:styleId="Tekstbalonia">
    <w:name w:val="Balloon Text"/>
    <w:basedOn w:val="Normal"/>
    <w:link w:val="TekstbaloniaChar"/>
    <w:uiPriority w:val="99"/>
    <w:semiHidden/>
    <w:unhideWhenUsed/>
    <w:rsid w:val="00426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6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24</cp:revision>
  <cp:lastPrinted>2023-09-14T11:59:00Z</cp:lastPrinted>
  <dcterms:created xsi:type="dcterms:W3CDTF">2023-09-01T08:12:00Z</dcterms:created>
  <dcterms:modified xsi:type="dcterms:W3CDTF">2023-09-14T11:59:00Z</dcterms:modified>
</cp:coreProperties>
</file>