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D0" w:rsidRDefault="00216589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0115FC7-7F8E-4CD2-993F-ABCA1C5BBBE5" style="width:455.25pt;height:336.75pt">
            <v:imagedata r:id="rId9" o:title=""/>
          </v:shape>
        </w:pict>
      </w:r>
    </w:p>
    <w:bookmarkEnd w:id="0"/>
    <w:p w:rsidR="00E25DD0" w:rsidRDefault="00E25DD0">
      <w:pPr>
        <w:pStyle w:val="Pagedecouverture"/>
        <w:rPr>
          <w:noProof/>
        </w:rPr>
        <w:sectPr w:rsidR="00E25D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 w:rsidR="00E25DD0" w:rsidRDefault="00216589">
      <w:pPr>
        <w:pStyle w:val="Naslov1"/>
        <w:tabs>
          <w:tab w:val="clear" w:pos="482"/>
        </w:tabs>
        <w:ind w:left="0" w:firstLine="0"/>
        <w:rPr>
          <w:noProof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58261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532322</wp:posOffset>
                </wp:positionV>
                <wp:extent cx="5454015" cy="1690370"/>
                <wp:effectExtent l="0" t="0" r="0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DD0" w:rsidRDefault="00216589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„Naša ruralna područja tkivo su našeg društva i temelj našega gospodarstva.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Raznolikost krajolika, kulture i baštine jedna je od najvažnijih i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najistaknutijih značajki Europe.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Oni su ključan dio našeg identiteta i gospodarskog potencijala.”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E25DD0" w:rsidRDefault="00216589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„Cijenit ćemo i štititi naša ruralna područja i ulagati u njihovu budućnost.”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E25DD0" w:rsidRDefault="00216589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Predsjednica von der Leyen – srpanj 2019.</w:t>
                            </w:r>
                          </w:p>
                          <w:p w:rsidR="00E25DD0" w:rsidRDefault="00216589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(Političke smjernice za razdoblje 20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19.–2024.)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41.9pt;width:429.45pt;height:133.1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" stroked="f">
                <v:textbox>
                  <w:txbxContent>
                    <w:p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„Naša ruralna područja tkivo su našeg društva i temelj našega gospodarstva.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>Raznolikost krajolika, kulture i baštine jedna je od najvažnijih i najistaknutijih značajki Europe.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>Oni su ključan dio našeg identiteta i gospodarskog potencijala.”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</w:p>
                    <w:p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„Cijenit ćemo i štititi naša ruralna područja i ulagati u njihovu budućnost.”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Predsjednica von der Leyen – srpanj 2019.</w:t>
                      </w:r>
                    </w:p>
                    <w:p>
                      <w:p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(Političke smjernice za razdoblje 2019.–2024.)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Uvod: poziv na dugoročnu viziju za ruralna područja EU-a </w:t>
      </w:r>
    </w:p>
    <w:p w:rsidR="00E25DD0" w:rsidRDefault="00216589">
      <w:pPr>
        <w:rPr>
          <w:noProof/>
        </w:rPr>
      </w:pPr>
      <w:r>
        <w:rPr>
          <w:noProof/>
        </w:rPr>
        <w:t>Ruralna područja EU-a ključna su sastavnica europskog načina života. U njima živi 137 milijuna ljudi, što čini gotovo 30 % stanovništva i više od 80 % teritorija EU-a, uzimajući u obzir s</w:t>
      </w:r>
      <w:r>
        <w:rPr>
          <w:noProof/>
        </w:rPr>
        <w:t>ve općine u Europi s malim brojem stanovnika ili niskom gustoćom naseljenosti</w:t>
      </w:r>
      <w:r>
        <w:rPr>
          <w:rStyle w:val="Referencafusnote"/>
          <w:noProof/>
        </w:rPr>
        <w:footnoteReference w:id="2"/>
      </w:r>
      <w:r>
        <w:rPr>
          <w:noProof/>
        </w:rPr>
        <w:t>. Nadaleko su poznata i cijenjena po proizvodnji hrane, upravljanju prirodnim resursima, zaštiti prirodnih krajolika te rekreaciji i turizmu. Mnoge naše tradicije, festivali i ku</w:t>
      </w:r>
      <w:r>
        <w:rPr>
          <w:noProof/>
        </w:rPr>
        <w:t>ltura nastali su u ruralnim područjima Europe. Kao što je naglasila predsjednica Europske komisije Ursula von der Leyen, „Europa ne bi bila potpuna bez ruralnih područja”</w:t>
      </w:r>
      <w:r>
        <w:rPr>
          <w:rStyle w:val="Referencafusnote"/>
          <w:noProof/>
        </w:rPr>
        <w:footnoteReference w:id="3"/>
      </w:r>
      <w:r>
        <w:rPr>
          <w:noProof/>
        </w:rPr>
        <w:t xml:space="preserve">. </w:t>
      </w:r>
    </w:p>
    <w:p w:rsidR="00E25DD0" w:rsidRDefault="00216589">
      <w:pPr>
        <w:rPr>
          <w:noProof/>
        </w:rPr>
      </w:pPr>
      <w:r>
        <w:rPr>
          <w:noProof/>
        </w:rPr>
        <w:t>Međutim, društvene i gospodarske promjene posljednjih desetljeća, uključujući glob</w:t>
      </w:r>
      <w:r>
        <w:rPr>
          <w:noProof/>
        </w:rPr>
        <w:t>alizaciju i urbanizaciju, mijenjaju ulogu i prirodu ruralnih područja, koja se ujedno suočavaju sa smanjenjem broja stanovnika i njihovim starenjem</w:t>
      </w:r>
      <w:r>
        <w:rPr>
          <w:noProof/>
          <w:vertAlign w:val="superscript"/>
        </w:rPr>
        <w:footnoteReference w:id="4"/>
      </w:r>
      <w:r>
        <w:rPr>
          <w:noProof/>
        </w:rPr>
        <w:t>. Mnogi Europljani zabrinuti su zbog slabljenja ruralne infrastrukture i pružanja usluga, uključujući pristu</w:t>
      </w:r>
      <w:r>
        <w:rPr>
          <w:noProof/>
        </w:rPr>
        <w:t>p zdravstvenoj skrbi, socijalnim uslugama i obrazovanju te poštanskim i bankovnim uslugama. Drugi izražavaju zabrinutost zbog smanjenja mogućnosti zapošljavanja i mogućeg pada prihoda u ruralnim područjima ili zbog ograničene prometne i digitalne povezivos</w:t>
      </w:r>
      <w:r>
        <w:rPr>
          <w:noProof/>
        </w:rPr>
        <w:t xml:space="preserve">ti. </w:t>
      </w:r>
    </w:p>
    <w:p w:rsidR="00E25DD0" w:rsidRDefault="00216589">
      <w:pPr>
        <w:rPr>
          <w:noProof/>
        </w:rPr>
      </w:pPr>
      <w:r>
        <w:rPr>
          <w:noProof/>
        </w:rPr>
        <w:t xml:space="preserve">Sve je jasnije da se </w:t>
      </w:r>
      <w:r>
        <w:rPr>
          <w:b/>
          <w:noProof/>
        </w:rPr>
        <w:t>uloga i važnost ruralnih područja nedovoljno cijene</w:t>
      </w:r>
      <w:r>
        <w:rPr>
          <w:noProof/>
        </w:rPr>
        <w:t xml:space="preserve"> i nagrađuju. Gotovo 40 % sudionika javnog savjetovanja organiziranog pri pripremi ove Komunikacije smatralo je da su ih društvo i oblikovatelji politika zapostavili. Treba pokuša</w:t>
      </w:r>
      <w:r>
        <w:rPr>
          <w:noProof/>
        </w:rPr>
        <w:t>ti razumjeti tu predodžbu i otkloniti njezine uzročnike</w:t>
      </w:r>
      <w:r>
        <w:rPr>
          <w:rStyle w:val="Referencafusnote"/>
          <w:noProof/>
        </w:rPr>
        <w:footnoteReference w:id="5"/>
      </w:r>
      <w:r>
        <w:rPr>
          <w:noProof/>
        </w:rPr>
        <w:t>.</w:t>
      </w:r>
    </w:p>
    <w:p w:rsidR="00E25DD0" w:rsidRDefault="00216589">
      <w:pPr>
        <w:rPr>
          <w:noProof/>
        </w:rPr>
      </w:pPr>
      <w:r>
        <w:rPr>
          <w:noProof/>
        </w:rPr>
        <w:t xml:space="preserve">U okviru ove Komunikacije o dugoročnoj viziji za ruralna područja EU-a ti problemi i razlozi za zabrinutost nastoje se ukloniti oslanjanjem na </w:t>
      </w:r>
      <w:r>
        <w:rPr>
          <w:b/>
          <w:noProof/>
        </w:rPr>
        <w:t xml:space="preserve">nove mogućnosti zelene i digitalne tranzicije EU-a i </w:t>
      </w:r>
      <w:r>
        <w:rPr>
          <w:b/>
          <w:noProof/>
        </w:rPr>
        <w:t>stečena iskustva iz pandemije bolesti COVID-19</w:t>
      </w:r>
      <w:r>
        <w:rPr>
          <w:noProof/>
        </w:rPr>
        <w:t xml:space="preserve"> te utvrđivanjem načinâ za poboljšanje kvalitete života u ruralnim područjima, postizanje uravnoteženog teritorijalnog razvoja i poticanje gospodarskog rasta u ruralnim </w:t>
      </w:r>
      <w:r>
        <w:rPr>
          <w:noProof/>
        </w:rPr>
        <w:lastRenderedPageBreak/>
        <w:t>područjima uz pomoć nedavno pokrenutog At</w:t>
      </w:r>
      <w:r>
        <w:rPr>
          <w:noProof/>
        </w:rPr>
        <w:t>lasa demografije. Komunikacija se temelji na analizama, predviđanjima, opsežnim savjetovanjima i doprinosima zajednica. U njoj se utvrđuju vizija i politički alati za njezino ostvarivanje, uključujući primjere dobre prakse koji se mogu primijeniti i u drug</w:t>
      </w:r>
      <w:r>
        <w:rPr>
          <w:noProof/>
        </w:rPr>
        <w:t>im područjima. Komunikacijom se promiče Program održivog razvoja do 2030. i njegovi ciljevi održivog razvoja te pridonosi njihovu ostvarenju.</w:t>
      </w:r>
    </w:p>
    <w:p w:rsidR="00E25DD0" w:rsidRDefault="00216589">
      <w:pPr>
        <w:rPr>
          <w:noProof/>
        </w:rPr>
      </w:pPr>
      <w:r>
        <w:rPr>
          <w:b/>
          <w:noProof/>
        </w:rPr>
        <w:t>Ruralna područja aktivni su sudionici u zelenoj i digitalnoj tranziciji EU-a</w:t>
      </w:r>
      <w:r>
        <w:rPr>
          <w:noProof/>
        </w:rPr>
        <w:t>. Zahvaljujući održivoj proizvodnji hr</w:t>
      </w:r>
      <w:r>
        <w:rPr>
          <w:noProof/>
        </w:rPr>
        <w:t>ane, očuvanju bioraznolikosti i borbi protiv klimatskih promjena, ona imaju ključnu ulogu u postizanju ciljeva europskog zelenog plana</w:t>
      </w:r>
      <w:r>
        <w:rPr>
          <w:rStyle w:val="Referencafusnote"/>
          <w:noProof/>
        </w:rPr>
        <w:footnoteReference w:id="6"/>
      </w:r>
      <w:r>
        <w:rPr>
          <w:noProof/>
        </w:rPr>
        <w:t>, strategije „od polja do stola”</w:t>
      </w:r>
      <w:r>
        <w:rPr>
          <w:rStyle w:val="Referencafusnote"/>
          <w:noProof/>
        </w:rPr>
        <w:footnoteReference w:id="7"/>
      </w:r>
      <w:r>
        <w:rPr>
          <w:noProof/>
        </w:rPr>
        <w:t xml:space="preserve"> i strategije za bioraznolikost</w:t>
      </w:r>
      <w:r>
        <w:rPr>
          <w:rStyle w:val="Referencafusnote"/>
          <w:noProof/>
        </w:rPr>
        <w:footnoteReference w:id="8"/>
      </w:r>
      <w:r>
        <w:rPr>
          <w:noProof/>
        </w:rPr>
        <w:t xml:space="preserve"> Europske unije. Pritom će uvođenje novih tehnologija u ruralna područja biti neophodno za ostvarivanje digitalnog desetljeća Europe. Postizanjem digitalnih ambicija EU-a za 2030.</w:t>
      </w:r>
      <w:r>
        <w:rPr>
          <w:rStyle w:val="Referencafusnote"/>
          <w:noProof/>
        </w:rPr>
        <w:footnoteReference w:id="9"/>
      </w:r>
      <w:r>
        <w:rPr>
          <w:noProof/>
        </w:rPr>
        <w:t xml:space="preserve"> može se stvoriti više mogućnosti za održivi razvoj ruralnih područja koji n</w:t>
      </w:r>
      <w:r>
        <w:rPr>
          <w:noProof/>
        </w:rPr>
        <w:t xml:space="preserve">ije usmjeren samo na poljoprivredu, stočarstvo i šumarstvo. To može potaknuti razvoj novih perspektiva za rast i zemljopisnu raspodjelu proizvodnje, a posebno usluga. </w:t>
      </w:r>
    </w:p>
    <w:p w:rsidR="00E25DD0" w:rsidRDefault="00216589">
      <w:pPr>
        <w:rPr>
          <w:noProof/>
          <w:szCs w:val="24"/>
        </w:rPr>
      </w:pPr>
      <w:r>
        <w:rPr>
          <w:b/>
          <w:noProof/>
        </w:rPr>
        <w:t>Europska ruralna područja vrlo su raznolika</w:t>
      </w:r>
      <w:r>
        <w:rPr>
          <w:noProof/>
        </w:rPr>
        <w:t>. S obzirom na razlike u prirodnim i klimatsk</w:t>
      </w:r>
      <w:r>
        <w:rPr>
          <w:noProof/>
        </w:rPr>
        <w:t>im uvjetima, zemljopisnim obilježjima, povijesnom i kulturnom razvoju, demografskim i društvenim promjenama, nacionalnim i regionalnim posebnostima i gospodarskom blagostanju, ruralna područja vrlo su raznolika. Zbog te raznolikosti potrebno je osmisliti l</w:t>
      </w:r>
      <w:r>
        <w:rPr>
          <w:noProof/>
        </w:rPr>
        <w:t xml:space="preserve">okalne </w:t>
      </w:r>
      <w:r>
        <w:rPr>
          <w:noProof/>
          <w:color w:val="000000"/>
        </w:rPr>
        <w:t xml:space="preserve">odgovore i rješenja koja su u skladu s konkretnim potrebama i mogućnostima svakog područja. </w:t>
      </w:r>
      <w:r>
        <w:rPr>
          <w:noProof/>
        </w:rPr>
        <w:t>To ujedno znači da bi u strategijama teritorijalnog razvoja trebalo uzeti u obzir pojedinačne značajke i okoliš ruralnih područja. U tom pogledu mjere moraju</w:t>
      </w:r>
      <w:r>
        <w:rPr>
          <w:noProof/>
        </w:rPr>
        <w:t xml:space="preserve"> biti posebno usmjerene na </w:t>
      </w:r>
      <w:r>
        <w:rPr>
          <w:b/>
          <w:noProof/>
          <w:szCs w:val="24"/>
        </w:rPr>
        <w:t>udaljene i manje razvijene ruralne regije</w:t>
      </w:r>
      <w:r>
        <w:rPr>
          <w:noProof/>
        </w:rPr>
        <w:t xml:space="preserve">. </w:t>
      </w:r>
    </w:p>
    <w:p w:rsidR="00E25DD0" w:rsidRDefault="00216589">
      <w:pPr>
        <w:rPr>
          <w:noProof/>
        </w:rPr>
      </w:pPr>
      <w:r>
        <w:rPr>
          <w:noProof/>
        </w:rPr>
        <w:t xml:space="preserve">Promjene u društvu, uključujući najnovije promjene uzrokovane bolešću COVID-19, trebalo bi </w:t>
      </w:r>
      <w:r>
        <w:rPr>
          <w:b/>
          <w:noProof/>
        </w:rPr>
        <w:t>pretvoriti u prilike</w:t>
      </w:r>
      <w:r>
        <w:rPr>
          <w:noProof/>
        </w:rPr>
        <w:t xml:space="preserve"> za ruralna područja. Moramo izbjeći asimetrični oporavak i osigurati da s</w:t>
      </w:r>
      <w:r>
        <w:rPr>
          <w:noProof/>
        </w:rPr>
        <w:t xml:space="preserve">va područja EU-a imaju sredstva za jednako uspješan oporavak od pandemije. </w:t>
      </w:r>
    </w:p>
    <w:p w:rsidR="00E25DD0" w:rsidRDefault="00216589">
      <w:pPr>
        <w:rPr>
          <w:noProof/>
        </w:rPr>
      </w:pPr>
      <w:r>
        <w:rPr>
          <w:noProof/>
        </w:rPr>
        <w:t xml:space="preserve">U skladu sa svojom snažnom predanošću demokraciji i jednakosti te imajući na umu utjecaj demografskih promjena, Europska komisija odlučno se zalaže za to da </w:t>
      </w:r>
      <w:r>
        <w:rPr>
          <w:b/>
          <w:noProof/>
        </w:rPr>
        <w:t>nijedan pojedinac i nij</w:t>
      </w:r>
      <w:r>
        <w:rPr>
          <w:b/>
          <w:noProof/>
        </w:rPr>
        <w:t>edno područje ne budu zapostavljeni</w:t>
      </w:r>
      <w:r>
        <w:rPr>
          <w:noProof/>
        </w:rPr>
        <w:t xml:space="preserve"> i da se </w:t>
      </w:r>
      <w:r>
        <w:rPr>
          <w:b/>
          <w:noProof/>
        </w:rPr>
        <w:t>EU približi građanima</w:t>
      </w:r>
      <w:r>
        <w:rPr>
          <w:noProof/>
        </w:rPr>
        <w:t>. Ovom Komunikacijom želi se stvoriti novi poticaj za ruralna područja promjenom njihove predodžbe u javnosti i stvaranjem novih prilika, uz veće uvažavanje potreba ruralnih zajednica, koje s</w:t>
      </w:r>
      <w:r>
        <w:rPr>
          <w:noProof/>
        </w:rPr>
        <w:t>u neizostavne u izgradnji budućnosti Europe. Ruralne zajednice imaju i ključnu ulogu u provedbi 20 načela europskog stupa socijalnih prava</w:t>
      </w:r>
      <w:r>
        <w:rPr>
          <w:rStyle w:val="Referencafusnote"/>
          <w:noProof/>
        </w:rPr>
        <w:footnoteReference w:id="10"/>
      </w:r>
      <w:r>
        <w:rPr>
          <w:noProof/>
        </w:rPr>
        <w:t xml:space="preserve">, čime pridonose jakoj socijalnoj Europi koja je pravedna, uključiva i puna mogućnosti. </w:t>
      </w:r>
    </w:p>
    <w:p w:rsidR="00E25DD0" w:rsidRDefault="00216589">
      <w:pPr>
        <w:rPr>
          <w:noProof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498478" cy="1672115"/>
            <wp:effectExtent l="0" t="0" r="63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78" cy="167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DD0" w:rsidRDefault="00216589">
      <w:pPr>
        <w:rPr>
          <w:noProof/>
        </w:rPr>
      </w:pPr>
      <w:r>
        <w:rPr>
          <w:noProof/>
        </w:rPr>
        <w:t xml:space="preserve">Uravnotežen teritorijalni </w:t>
      </w:r>
      <w:r>
        <w:rPr>
          <w:noProof/>
        </w:rPr>
        <w:t xml:space="preserve">razvoj utemeljen na </w:t>
      </w:r>
      <w:r>
        <w:rPr>
          <w:b/>
          <w:bCs/>
          <w:noProof/>
        </w:rPr>
        <w:t>lokaliziranim pristupima</w:t>
      </w:r>
      <w:r>
        <w:rPr>
          <w:noProof/>
        </w:rPr>
        <w:t xml:space="preserve"> i uključenost svih razina upravljanja, kako je navedeno u nedavno donesenom novom Teritorijalnom programu EU-a</w:t>
      </w:r>
      <w:r>
        <w:rPr>
          <w:rStyle w:val="Referencafusnote"/>
          <w:noProof/>
        </w:rPr>
        <w:footnoteReference w:id="11"/>
      </w:r>
      <w:r>
        <w:rPr>
          <w:noProof/>
        </w:rPr>
        <w:t xml:space="preserve">, nužni su kako bi se maksimalno iskoristio potencijal ruralnih područja. </w:t>
      </w:r>
    </w:p>
    <w:p w:rsidR="00E25DD0" w:rsidRDefault="00216589">
      <w:pPr>
        <w:rPr>
          <w:noProof/>
        </w:rPr>
      </w:pPr>
      <w:r>
        <w:rPr>
          <w:noProof/>
        </w:rPr>
        <w:t>Komisija je predana smanj</w:t>
      </w:r>
      <w:r>
        <w:rPr>
          <w:noProof/>
        </w:rPr>
        <w:t xml:space="preserve">enju regionalnih razlika i pomoći ruralnim područjima u tome da uhvate korak s ostalim područjima. Ta je obveza sadržana u </w:t>
      </w:r>
      <w:r>
        <w:rPr>
          <w:b/>
          <w:noProof/>
        </w:rPr>
        <w:t>članku 174. UFEU-a,</w:t>
      </w:r>
      <w:r>
        <w:rPr>
          <w:noProof/>
        </w:rPr>
        <w:t xml:space="preserve"> u kojem je utvrđeno da bi se posebna pozornost trebala pokloniti</w:t>
      </w:r>
      <w:r>
        <w:rPr>
          <w:i/>
          <w:noProof/>
        </w:rPr>
        <w:t xml:space="preserve"> </w:t>
      </w:r>
      <w:r>
        <w:rPr>
          <w:noProof/>
        </w:rPr>
        <w:t>„ruralnim područjima, područjima zahvaćenima ind</w:t>
      </w:r>
      <w:r>
        <w:rPr>
          <w:noProof/>
        </w:rPr>
        <w:t>ustrijskom tranzicijom i regijama koje su izložene ozbiljnim i trajnim prirodnim ili demografskim poteškoćama, kao što su najsjevernije regije s vrlo niskom gustoćom naseljenosti te otoci, pogranične i planinske regije”. Poseban status najudaljenijih regij</w:t>
      </w:r>
      <w:r>
        <w:rPr>
          <w:noProof/>
        </w:rPr>
        <w:t xml:space="preserve">a i njihovih ruralnih područja prepoznat je člankom 349. UFEU-a. </w:t>
      </w:r>
    </w:p>
    <w:p w:rsidR="00E25DD0" w:rsidRDefault="00216589">
      <w:pPr>
        <w:rPr>
          <w:noProof/>
        </w:rPr>
      </w:pPr>
      <w:r>
        <w:rPr>
          <w:noProof/>
        </w:rPr>
        <w:t xml:space="preserve">Ta načela iz Ugovora treba poštovati i prihvatiti na svim razinama: nijedna politika, djelovanje ni mjera ne bi smjeli omesti regionalnu konvergenciju ni pogoršati regionalnu podjelu. </w:t>
      </w:r>
    </w:p>
    <w:p w:rsidR="00E25DD0" w:rsidRDefault="00216589">
      <w:pPr>
        <w:rPr>
          <w:noProof/>
          <w:szCs w:val="24"/>
        </w:rPr>
      </w:pPr>
      <w:r>
        <w:rPr>
          <w:noProof/>
        </w:rPr>
        <w:t>U tom</w:t>
      </w:r>
      <w:r>
        <w:rPr>
          <w:noProof/>
        </w:rPr>
        <w:t xml:space="preserve"> kontekstu ovom se Komunikacijom utvrđuje </w:t>
      </w:r>
      <w:r>
        <w:rPr>
          <w:b/>
          <w:noProof/>
        </w:rPr>
        <w:t xml:space="preserve">dugoročna vizija za ruralna područja EU-a do 2040. </w:t>
      </w:r>
      <w:r>
        <w:rPr>
          <w:noProof/>
        </w:rPr>
        <w:t xml:space="preserve">U njoj se utvrđuju područja djelovanja za jača, povezana, otporna i prosperitetna ruralna područja i zajednice. U okviru </w:t>
      </w:r>
      <w:r>
        <w:rPr>
          <w:b/>
          <w:noProof/>
        </w:rPr>
        <w:t>pakta za ruralna područja</w:t>
      </w:r>
      <w:r>
        <w:rPr>
          <w:noProof/>
        </w:rPr>
        <w:t xml:space="preserve"> javna tijela i d</w:t>
      </w:r>
      <w:r>
        <w:rPr>
          <w:noProof/>
        </w:rPr>
        <w:t xml:space="preserve">ionike potaknut će se da djeluju u skladu s potrebama i težnjama stanovnika ruralnih područja. Pratećim </w:t>
      </w:r>
      <w:r>
        <w:rPr>
          <w:b/>
          <w:noProof/>
        </w:rPr>
        <w:t>akcijskim planom EU-a za ruralna područja</w:t>
      </w:r>
      <w:r>
        <w:rPr>
          <w:noProof/>
        </w:rPr>
        <w:t xml:space="preserve"> otvorit će se put za poticanje teritorijalne kohezije i stvoriti nove mogućnosti za privlačenje inovativnih po</w:t>
      </w:r>
      <w:r>
        <w:rPr>
          <w:noProof/>
        </w:rPr>
        <w:t>duzeća, osiguravanje dostupnosti kvalitetnih radnih mjesta, promicanje novih i poboljšanih vještina, osiguravanje bolje infrastrukture i usluga te iskorištavanje uloge održive poljoprivrede i diversificiranih gospodarskih djelatnosti.</w:t>
      </w:r>
    </w:p>
    <w:p w:rsidR="00E25DD0" w:rsidRDefault="00216589">
      <w:pPr>
        <w:spacing w:after="200" w:line="276" w:lineRule="auto"/>
        <w:jc w:val="left"/>
        <w:rPr>
          <w:noProof/>
          <w:szCs w:val="24"/>
        </w:rPr>
      </w:pPr>
      <w:r>
        <w:rPr>
          <w:noProof/>
        </w:rPr>
        <w:br w:type="page"/>
      </w:r>
    </w:p>
    <w:p w:rsidR="00E25DD0" w:rsidRDefault="00216589">
      <w:pPr>
        <w:pStyle w:val="Naslov1"/>
        <w:numPr>
          <w:ilvl w:val="0"/>
          <w:numId w:val="10"/>
        </w:numPr>
        <w:rPr>
          <w:noProof/>
        </w:rPr>
      </w:pPr>
      <w:r>
        <w:rPr>
          <w:noProof/>
        </w:rPr>
        <w:lastRenderedPageBreak/>
        <w:t>Ruralna područja EU</w:t>
      </w:r>
      <w:r>
        <w:rPr>
          <w:noProof/>
        </w:rPr>
        <w:t>-a danas</w:t>
      </w:r>
      <w:r>
        <w:rPr>
          <w:rStyle w:val="Referencafusnote"/>
          <w:noProof/>
        </w:rPr>
        <w:footnoteReference w:id="12"/>
      </w:r>
    </w:p>
    <w:p w:rsidR="00E25DD0" w:rsidRDefault="00216589">
      <w:pPr>
        <w:pStyle w:val="Naslov2"/>
        <w:rPr>
          <w:noProof/>
        </w:rPr>
      </w:pPr>
      <w:r>
        <w:rPr>
          <w:noProof/>
        </w:rPr>
        <w:t>1.1. Trendovi i izazovi</w:t>
      </w:r>
    </w:p>
    <w:p w:rsidR="00E25DD0" w:rsidRDefault="00216589">
      <w:pPr>
        <w:rPr>
          <w:noProof/>
        </w:rPr>
      </w:pPr>
      <w:r>
        <w:rPr>
          <w:noProof/>
        </w:rPr>
        <w:t xml:space="preserve">Stanovništvo EU-a sve je starije i broj stanovnika polako će se početi smanjivati u sljedećem desetljeću. </w:t>
      </w:r>
      <w:r>
        <w:rPr>
          <w:b/>
          <w:noProof/>
        </w:rPr>
        <w:t>Stanovništvo ruralnih područja</w:t>
      </w:r>
      <w:r>
        <w:rPr>
          <w:rStyle w:val="Referencafusnote"/>
          <w:b/>
          <w:noProof/>
        </w:rPr>
        <w:footnoteReference w:id="13"/>
      </w:r>
      <w:r>
        <w:rPr>
          <w:b/>
          <w:noProof/>
        </w:rPr>
        <w:t xml:space="preserve"> </w:t>
      </w:r>
      <w:r>
        <w:rPr>
          <w:noProof/>
        </w:rPr>
        <w:t xml:space="preserve">već je u prosjeku starije od stanovništva u manjim gradovima te predgrađima i većim </w:t>
      </w:r>
      <w:r>
        <w:rPr>
          <w:noProof/>
        </w:rPr>
        <w:t>gradovima. Posljednjih je godina u ruralnim regijama u prosjeku zabilježeno smanjenje broja stanovnika, ponajprije zbog negativne prirodne promjene stanovništva</w:t>
      </w:r>
      <w:r>
        <w:rPr>
          <w:rStyle w:val="Referencafusnote"/>
          <w:noProof/>
        </w:rPr>
        <w:footnoteReference w:id="14"/>
      </w:r>
      <w:r>
        <w:rPr>
          <w:noProof/>
        </w:rPr>
        <w:t xml:space="preserve">, koja nije nadoknađena dostatnom pozitivnom neto migracijom. Zbog negativne prirodne promjene </w:t>
      </w:r>
      <w:r>
        <w:rPr>
          <w:noProof/>
        </w:rPr>
        <w:t>stanovništva i negativnog neto kretanja u ruralnim regijama neke istočne i južne države članice već su suočene i sa starenjem stanovništva i sa smanjenjem broja stanovnika</w:t>
      </w:r>
      <w:r>
        <w:rPr>
          <w:rStyle w:val="Referencafusnote"/>
          <w:noProof/>
        </w:rPr>
        <w:footnoteReference w:id="15"/>
      </w:r>
      <w:r>
        <w:rPr>
          <w:noProof/>
        </w:rPr>
        <w:t>. Osim toga, među mladima je</w:t>
      </w:r>
      <w:r>
        <w:rPr>
          <w:b/>
          <w:noProof/>
        </w:rPr>
        <w:t xml:space="preserve"> veća vjerojatnost da će</w:t>
      </w:r>
      <w:r>
        <w:rPr>
          <w:noProof/>
        </w:rPr>
        <w:t xml:space="preserve"> ruralne regije </w:t>
      </w:r>
      <w:r>
        <w:rPr>
          <w:b/>
          <w:noProof/>
        </w:rPr>
        <w:t>napustiti žene</w:t>
      </w:r>
      <w:r>
        <w:rPr>
          <w:noProof/>
        </w:rPr>
        <w:t xml:space="preserve"> nego muškarci. Ti demografski trendovi, u kombinaciji s nedostatnom povezivosti, problemima u području infrastrukture i produktivnosti te otežanim pristupom javnim uslugama, uključujući obrazovanje i skrb, mogu pridonijeti </w:t>
      </w:r>
      <w:r>
        <w:rPr>
          <w:b/>
          <w:noProof/>
        </w:rPr>
        <w:t>manjoj privlačnosti ruralnih pod</w:t>
      </w:r>
      <w:r>
        <w:rPr>
          <w:b/>
          <w:noProof/>
        </w:rPr>
        <w:t>ručja</w:t>
      </w:r>
      <w:r>
        <w:rPr>
          <w:noProof/>
        </w:rPr>
        <w:t xml:space="preserve"> kao mjesta za život i rad. </w:t>
      </w:r>
    </w:p>
    <w:p w:rsidR="00E25DD0" w:rsidRDefault="00216589">
      <w:pPr>
        <w:rPr>
          <w:noProof/>
        </w:rPr>
      </w:pPr>
      <w:r>
        <w:rPr>
          <w:noProof/>
        </w:rPr>
        <w:t>„Ruralni” je stoljećima značilo „poljoprivredni” i odnosilo se na milijune poljoprivrednika koji opskrbljuju europsko društvo. Život u mnogim ruralnim područjima, posebno u udaljenijim i rubnim dijelovima, i dalje je neodv</w:t>
      </w:r>
      <w:r>
        <w:rPr>
          <w:noProof/>
        </w:rPr>
        <w:t>ojivo povezan s poljoprivredom s obzirom na to da se više od 40 % zemljišta u ruralnim područjima upotrebljava za poljoprivredu. S vremenom se udio poljoprivrede, šumarstva i ribarstva u gospodarstvu i zapošljavanju u ruralnim regijama smanjio na 12 % svih</w:t>
      </w:r>
      <w:r>
        <w:rPr>
          <w:noProof/>
        </w:rPr>
        <w:t xml:space="preserve"> radnih mjesta i 4 % bruto dodane vrijednosti, no uspjela se očuvati prijeko potrebna sigurnost opskrbe hranom u EU-u. </w:t>
      </w:r>
    </w:p>
    <w:p w:rsidR="00E25DD0" w:rsidRDefault="00216589">
      <w:pPr>
        <w:rPr>
          <w:noProof/>
        </w:rPr>
      </w:pPr>
      <w:r>
        <w:rPr>
          <w:noProof/>
        </w:rPr>
        <w:t>Pritom se povećala važnost usluga (npr. turizam i rekreacija) i došlo je do strukturne promjene u mnogim ruralnim gospodarstvima, dok je</w:t>
      </w:r>
      <w:r>
        <w:rPr>
          <w:noProof/>
        </w:rPr>
        <w:t xml:space="preserve"> udio industrije i građevinskog sektora ostao nepromijenjen. </w:t>
      </w:r>
    </w:p>
    <w:p w:rsidR="00E25DD0" w:rsidRDefault="00216589">
      <w:pPr>
        <w:rPr>
          <w:noProof/>
        </w:rPr>
      </w:pPr>
      <w:r>
        <w:rPr>
          <w:noProof/>
        </w:rPr>
        <w:t xml:space="preserve">Iako je veći rast počevši od 2000. omogućio da se ta razlika smanji, </w:t>
      </w:r>
      <w:r>
        <w:rPr>
          <w:b/>
          <w:noProof/>
        </w:rPr>
        <w:t>bruto domaći proizvod (BDP) po stanovniku u ruralnim regijama</w:t>
      </w:r>
      <w:r>
        <w:rPr>
          <w:noProof/>
        </w:rPr>
        <w:t xml:space="preserve"> i dalje je 2018. bio znatno niži (75 %) od prosjeka EU-a. Udalj</w:t>
      </w:r>
      <w:r>
        <w:rPr>
          <w:noProof/>
        </w:rPr>
        <w:t>ene ruralne regije nisu sustigle ostale regije u gospodarskom smislu (koje ostaju na oko 70 % BDP-a EU-a po stanovniku). Taj cjelokupni gospodarski kontekst naglašava potrebu za daljnjom gospodarskom diversifikacijom ruralnih područja, koja obuhvaća sve di</w:t>
      </w:r>
      <w:r>
        <w:rPr>
          <w:noProof/>
        </w:rPr>
        <w:t xml:space="preserve">menzije i sektore, kako bi se što više iskoristio njihov potencijal povezan s uslugama i proizvodnjom. </w:t>
      </w:r>
    </w:p>
    <w:p w:rsidR="00E25DD0" w:rsidRDefault="00216589">
      <w:pPr>
        <w:rPr>
          <w:noProof/>
        </w:rPr>
      </w:pPr>
      <w:r>
        <w:rPr>
          <w:noProof/>
        </w:rPr>
        <w:t xml:space="preserve">Prosječna stopa </w:t>
      </w:r>
      <w:r>
        <w:rPr>
          <w:b/>
          <w:noProof/>
        </w:rPr>
        <w:t>zaposlenosti</w:t>
      </w:r>
      <w:r>
        <w:rPr>
          <w:noProof/>
        </w:rPr>
        <w:t xml:space="preserve"> u ruralnim područjima EU-a povećala se od 2012. do 2020. (sa 67,5 % na 73,1 %, što je više nego u većim gradovima), dok se </w:t>
      </w:r>
      <w:r>
        <w:rPr>
          <w:noProof/>
        </w:rPr>
        <w:t xml:space="preserve">prosječna stopa </w:t>
      </w:r>
      <w:r>
        <w:rPr>
          <w:b/>
          <w:noProof/>
        </w:rPr>
        <w:lastRenderedPageBreak/>
        <w:t>nezaposlenosti</w:t>
      </w:r>
      <w:r>
        <w:rPr>
          <w:noProof/>
        </w:rPr>
        <w:t xml:space="preserve"> smanjila (s 10,4 % na 5,9 %, tj. manje nego u većim gradovima). Ta povoljna sveukupna kretanja prikrivaju drukčiju stvarnost, ponajprije vrlo raznoliku situaciju u državama članicama i činjenicu da je stopa nezaposlenosti </w:t>
      </w:r>
      <w:r>
        <w:rPr>
          <w:b/>
          <w:noProof/>
        </w:rPr>
        <w:t>mla</w:t>
      </w:r>
      <w:r>
        <w:rPr>
          <w:b/>
          <w:noProof/>
        </w:rPr>
        <w:t xml:space="preserve">dih </w:t>
      </w:r>
      <w:r>
        <w:rPr>
          <w:noProof/>
        </w:rPr>
        <w:t>i u ruralnim područjima viša u usporedbi s općim radno sposobnim stanovništvom. Osim toga, kad je riječ o udjelu stanovništva kojem prijeti siromaštvo ili socijalna isključenost, brojke u 2019. veće su u ruralnim područjima (22,4 %), u usporedbi s grad</w:t>
      </w:r>
      <w:r>
        <w:rPr>
          <w:noProof/>
        </w:rPr>
        <w:t>ovima (21,3 %) te gradovima i predgrađima (19,2 %), a u deset država članica postotak stanovništva u opasnosti od siromaštva u ruralnim područjima porastao je od 2012.</w:t>
      </w:r>
      <w:r>
        <w:rPr>
          <w:rStyle w:val="Referencafusnote"/>
          <w:noProof/>
        </w:rPr>
        <w:footnoteReference w:id="16"/>
      </w:r>
    </w:p>
    <w:p w:rsidR="00E25DD0" w:rsidRDefault="00216589">
      <w:pPr>
        <w:divId w:val="1938904814"/>
        <w:rPr>
          <w:rFonts w:eastAsiaTheme="minorHAnsi"/>
          <w:noProof/>
        </w:rPr>
      </w:pPr>
      <w:r>
        <w:rPr>
          <w:b/>
          <w:noProof/>
        </w:rPr>
        <w:t>Razlika</w:t>
      </w:r>
      <w:r>
        <w:rPr>
          <w:noProof/>
        </w:rPr>
        <w:t xml:space="preserve"> u zaposlenosti </w:t>
      </w:r>
      <w:r>
        <w:rPr>
          <w:b/>
          <w:noProof/>
        </w:rPr>
        <w:t>muškaraca i žena</w:t>
      </w:r>
      <w:r>
        <w:rPr>
          <w:noProof/>
        </w:rPr>
        <w:t xml:space="preserve"> u ruralnim područjima iznosi 13 postotnih bodov</w:t>
      </w:r>
      <w:r>
        <w:rPr>
          <w:noProof/>
        </w:rPr>
        <w:t>a (u usporedbi s 10 postotnih bodova u većim gradovima), a u nekim državama članicama veća je od 20 postotnih bodova. Ta je razlika na razini EU-a prilično stabilna od 2012. U više od polovine država članica ta je razlika među spolovima veća u ruralnim pod</w:t>
      </w:r>
      <w:r>
        <w:rPr>
          <w:noProof/>
        </w:rPr>
        <w:t>ručjima nego u većim gradovima. Potrebno je obratiti pozornost na činjenicu da mnoge žene imaju ugovore za nesigurna radna mjesta (npr. sezonske radnice) ili „nevidljivu ulogu” u ruralnim društvima (npr. supružnici koji pomažu), zbog čega se mogu naći u os</w:t>
      </w:r>
      <w:r>
        <w:rPr>
          <w:noProof/>
        </w:rPr>
        <w:t>jetljivom položaju (kao što su, u nekim slučajevima, nemogućnost pristupa socijalnoj zaštiti ili rodiljnoj naknadi). Istodobno, žene su važna pokretačka snaga za blagostanje i socijalnu uključenost u ruralnim područjima, posebno u kontekstu poduzetništva.</w:t>
      </w:r>
    </w:p>
    <w:p w:rsidR="00E25DD0" w:rsidRDefault="00216589">
      <w:pPr>
        <w:rPr>
          <w:noProof/>
        </w:rPr>
      </w:pPr>
      <w:r>
        <w:rPr>
          <w:noProof/>
        </w:rPr>
        <w:t>Udio stanovništva</w:t>
      </w:r>
      <w:r>
        <w:rPr>
          <w:rStyle w:val="Referencafusnote"/>
          <w:noProof/>
        </w:rPr>
        <w:footnoteReference w:id="17"/>
      </w:r>
      <w:r>
        <w:rPr>
          <w:noProof/>
        </w:rPr>
        <w:t xml:space="preserve"> s visokim stupnjem </w:t>
      </w:r>
      <w:r>
        <w:rPr>
          <w:b/>
          <w:noProof/>
        </w:rPr>
        <w:t xml:space="preserve">obrazovanja </w:t>
      </w:r>
      <w:r>
        <w:rPr>
          <w:noProof/>
        </w:rPr>
        <w:t>u ruralnim područjima i dalje je nizak unatoč povećanju s 18 % u 2012. na 22 % u 2019. Razlika između ruralnih područja i većih gradova također se povećala sa 17 postotnih bodova 2012. na 19 postotnih bodov</w:t>
      </w:r>
      <w:r>
        <w:rPr>
          <w:noProof/>
        </w:rPr>
        <w:t xml:space="preserve">a 2019. (stabilna je ili raste u većini država članica). Razlika u </w:t>
      </w:r>
      <w:r>
        <w:rPr>
          <w:b/>
          <w:noProof/>
        </w:rPr>
        <w:t>osnovnim vještinama</w:t>
      </w:r>
      <w:r>
        <w:rPr>
          <w:noProof/>
        </w:rPr>
        <w:t xml:space="preserve"> (čitanje, matematika i prirodoslovlje) između gradskih i ruralnih područja također je velika u mnogim zemljama, što pokazuju rezultati istraživanja PISA 2018. Razlika u </w:t>
      </w:r>
      <w:r>
        <w:rPr>
          <w:b/>
          <w:noProof/>
        </w:rPr>
        <w:t>osnovnim digitalnim vještinama</w:t>
      </w:r>
      <w:r>
        <w:rPr>
          <w:noProof/>
        </w:rPr>
        <w:t xml:space="preserve"> 2019. iznosila je 14 postotnih bodova (48 % za ruralna područja u odnosu na 62 % za veće gradove) i stabilna je od 2015. Osim toga, na razini EU-a stopa osoba koje su rano napustile školovanje viša je u ruralnim područjima i </w:t>
      </w:r>
      <w:r>
        <w:rPr>
          <w:noProof/>
        </w:rPr>
        <w:t>manjim gradovima nego u većim gradovima. Škole u nekim ruralnim područjima često imaju poteškoća s pružanjem kvalitetnog obrazovanja zbog svoje zemljopisne izoliranosti i male veličine. Suočavaju se s nedostatkom infrastrukture i pomoćnih usluga u obrazova</w:t>
      </w:r>
      <w:r>
        <w:rPr>
          <w:noProof/>
        </w:rPr>
        <w:t xml:space="preserve">nju, ograničenom obrazovnom ponudom i nedostatkom iskusnih nastavnika. To može ograničiti upotrebu e-usluga i potencijal za učenje i rad na daljinu, što utječe na dostupnost </w:t>
      </w:r>
      <w:r>
        <w:rPr>
          <w:b/>
          <w:noProof/>
        </w:rPr>
        <w:t>kvalitetnih radnih mjesta</w:t>
      </w:r>
      <w:r>
        <w:rPr>
          <w:noProof/>
        </w:rPr>
        <w:t xml:space="preserve"> u ruralnim područjima. </w:t>
      </w:r>
    </w:p>
    <w:p w:rsidR="00E25DD0" w:rsidRDefault="00216589">
      <w:pPr>
        <w:rPr>
          <w:noProof/>
        </w:rPr>
      </w:pPr>
      <w:r>
        <w:rPr>
          <w:noProof/>
        </w:rPr>
        <w:t>Život u ruralnim područjima uvel</w:t>
      </w:r>
      <w:r>
        <w:rPr>
          <w:noProof/>
        </w:rPr>
        <w:t xml:space="preserve">ike ovisi o pristupu </w:t>
      </w:r>
      <w:r>
        <w:rPr>
          <w:b/>
          <w:noProof/>
        </w:rPr>
        <w:t xml:space="preserve">kvalitetnim javnim uslugama i </w:t>
      </w:r>
      <w:r>
        <w:rPr>
          <w:b/>
          <w:bCs/>
          <w:noProof/>
        </w:rPr>
        <w:t>infrastrukturi</w:t>
      </w:r>
      <w:r>
        <w:rPr>
          <w:noProof/>
        </w:rPr>
        <w:t>. U javnom savjetovanju utvrđeno je da najhitnije potrebe uključuju infrastrukturu, pristup raznim ustanovama i sadržajima, digitalnu povezivost i mogućnost zapošljavanja. Osnovne usluge i po</w:t>
      </w:r>
      <w:r>
        <w:rPr>
          <w:noProof/>
        </w:rPr>
        <w:t xml:space="preserve">vezana infrastruktura, kao što su vodoopskrba, odvodnja, energetika, prijevoz, financijske usluge i digitalne komunikacije, posebno su važne za jamčenje društvene i ekonomske uključenosti. One dopunjuju i olakšavaju pristup drugim poticajnim uslugama, kao </w:t>
      </w:r>
      <w:r>
        <w:rPr>
          <w:noProof/>
        </w:rPr>
        <w:t xml:space="preserve">što su skrb za djecu, obrazovanje, dugotrajna </w:t>
      </w:r>
      <w:r>
        <w:rPr>
          <w:noProof/>
        </w:rPr>
        <w:lastRenderedPageBreak/>
        <w:t>skrb, stanovanje, tržište rada i socijalne usluge, a mogu biti i važan izvor otvaranja radnih mjesta</w:t>
      </w:r>
      <w:r>
        <w:rPr>
          <w:rStyle w:val="Referencafusnote"/>
          <w:noProof/>
        </w:rPr>
        <w:footnoteReference w:id="18"/>
      </w:r>
      <w:r>
        <w:rPr>
          <w:noProof/>
        </w:rPr>
        <w:t>.</w:t>
      </w:r>
    </w:p>
    <w:p w:rsidR="00E25DD0" w:rsidRDefault="00216589">
      <w:pPr>
        <w:rPr>
          <w:noProof/>
        </w:rPr>
      </w:pPr>
      <w:r>
        <w:rPr>
          <w:noProof/>
        </w:rPr>
        <w:t xml:space="preserve">Na pristup javnim uslugama i infrastrukturi utječu gustoća naseljenosti i blizina ljudi, koje se razlikuju </w:t>
      </w:r>
      <w:r>
        <w:rPr>
          <w:noProof/>
        </w:rPr>
        <w:t>među ruralnim područjima država članica te između ruralnih područja u blizini većeg grada i udaljenih ruralnih područja</w:t>
      </w:r>
      <w:r>
        <w:rPr>
          <w:rStyle w:val="Referencafusnote"/>
          <w:noProof/>
        </w:rPr>
        <w:footnoteReference w:id="19"/>
      </w:r>
      <w:r>
        <w:rPr>
          <w:noProof/>
        </w:rPr>
        <w:t>. Što je područje manje urbanizirano i udaljenije, to je veća prosječna cestovna udaljenost do najbliže usluge</w:t>
      </w:r>
      <w:r>
        <w:rPr>
          <w:rStyle w:val="Referencafusnote"/>
          <w:noProof/>
        </w:rPr>
        <w:footnoteReference w:id="20"/>
      </w:r>
      <w:r>
        <w:rPr>
          <w:noProof/>
        </w:rPr>
        <w:t>.</w:t>
      </w:r>
    </w:p>
    <w:p w:rsidR="00E25DD0" w:rsidRDefault="00216589">
      <w:pPr>
        <w:rPr>
          <w:noProof/>
        </w:rPr>
      </w:pPr>
      <w:r>
        <w:rPr>
          <w:noProof/>
        </w:rPr>
        <w:t>Trećina stanovništva ru</w:t>
      </w:r>
      <w:r>
        <w:rPr>
          <w:noProof/>
        </w:rPr>
        <w:t>ralnih regija živi u pograničnim područjima. U tim ruralnim pograničnim regijama cestovna i željeznička mreža neučinkovitije su i dostupno je manje putničkih letova nego u drugim ruralnim regijama. Stanovnici ruralnih pograničnih regija moraju putovati dal</w:t>
      </w:r>
      <w:r>
        <w:rPr>
          <w:noProof/>
        </w:rPr>
        <w:t>je do osnovne ili srednje škole ili bolnice od stanovnika drugih ruralnih regija.</w:t>
      </w:r>
    </w:p>
    <w:p w:rsidR="00E25DD0" w:rsidRDefault="00216589">
      <w:pPr>
        <w:rPr>
          <w:noProof/>
        </w:rPr>
      </w:pPr>
      <w:r>
        <w:rPr>
          <w:noProof/>
        </w:rPr>
        <w:t xml:space="preserve">Veće udaljenosti, manja gustoća naseljenosti i veća područja obuhvata otežavaju pružanje usluga i pristup uslugama u ruralnim područjima. Međutim, </w:t>
      </w:r>
      <w:r>
        <w:rPr>
          <w:b/>
          <w:noProof/>
        </w:rPr>
        <w:t>pružanje usluga od općeg in</w:t>
      </w:r>
      <w:r>
        <w:rPr>
          <w:b/>
          <w:noProof/>
        </w:rPr>
        <w:t>teresa u ruralnim područjima usporedive kvalitete</w:t>
      </w:r>
      <w:r>
        <w:rPr>
          <w:noProof/>
        </w:rPr>
        <w:t xml:space="preserve"> s onima u gradskim područjima ključno je za održavanje primjerenog životnog standarda za sve građane i na svim područjima, uključujući najudaljenija ruralna područja i najudaljenije regije. </w:t>
      </w:r>
    </w:p>
    <w:p w:rsidR="00E25DD0" w:rsidRDefault="00216589">
      <w:pPr>
        <w:rPr>
          <w:bCs/>
          <w:noProof/>
        </w:rPr>
      </w:pPr>
      <w:r>
        <w:rPr>
          <w:noProof/>
        </w:rPr>
        <w:t>Ruralne zajedni</w:t>
      </w:r>
      <w:r>
        <w:rPr>
          <w:noProof/>
        </w:rPr>
        <w:t>ce mogle bi imati i veće troškove klimatske tranzicije. Veće udaljenosti do npr. bolnica, škola i trgovina, zajedno s većom ovisnošću o osobnim automobilima zbog oskudnih usluga javnog prijevoza, dovode do većih putnih troškova</w:t>
      </w:r>
      <w:r>
        <w:rPr>
          <w:rStyle w:val="Referencafusnote"/>
          <w:noProof/>
        </w:rPr>
        <w:footnoteReference w:id="21"/>
      </w:r>
      <w:r>
        <w:rPr>
          <w:noProof/>
        </w:rPr>
        <w:t>. Maloprodaja, liječnici, lj</w:t>
      </w:r>
      <w:r>
        <w:rPr>
          <w:noProof/>
        </w:rPr>
        <w:t xml:space="preserve">ekarne, banke, poštanski uredi, javni prijevoz, ustanove za skrb za djecu i škole </w:t>
      </w:r>
      <w:r>
        <w:rPr>
          <w:b/>
          <w:noProof/>
        </w:rPr>
        <w:t>ključni su za život i radna mjesta u ruralnim područjima</w:t>
      </w:r>
      <w:r>
        <w:rPr>
          <w:noProof/>
        </w:rPr>
        <w:t xml:space="preserve"> i za osiguravanje da </w:t>
      </w:r>
      <w:r>
        <w:rPr>
          <w:b/>
          <w:noProof/>
        </w:rPr>
        <w:t>nijedan pojedinac i nijedno područje ne budu zapostavljeni</w:t>
      </w:r>
      <w:r>
        <w:rPr>
          <w:noProof/>
        </w:rPr>
        <w:t>. Nepostojanje tih usluga</w:t>
      </w:r>
      <w:r>
        <w:rPr>
          <w:b/>
          <w:bCs/>
          <w:noProof/>
        </w:rPr>
        <w:t xml:space="preserve"> </w:t>
      </w:r>
      <w:r>
        <w:rPr>
          <w:noProof/>
        </w:rPr>
        <w:t>može brzo do</w:t>
      </w:r>
      <w:r>
        <w:rPr>
          <w:noProof/>
        </w:rPr>
        <w:t>vesti do osjećaja udaljenosti i društvene isključenosti. Manji gradovi mogu biti korisni pokretači privlačnosti i razvoja ruralnih područja te okolnim ruralnim područjima osiguravati dostupnost niza usluga. Važno je razmotriti i ispitati nove načine organi</w:t>
      </w:r>
      <w:r>
        <w:rPr>
          <w:noProof/>
        </w:rPr>
        <w:t xml:space="preserve">ziranja nacionalnih i regionalnih javnih usluga te pritom iskoristiti prednosti digitalizacije. </w:t>
      </w:r>
    </w:p>
    <w:p w:rsidR="00E25DD0" w:rsidRDefault="00216589">
      <w:pPr>
        <w:rPr>
          <w:noProof/>
        </w:rPr>
      </w:pPr>
      <w:r>
        <w:rPr>
          <w:noProof/>
        </w:rPr>
        <w:t xml:space="preserve">Poslovni modeli i pristupi kao što su e-usluge, rješenja za mobilne usluge, javno-privatna partnerstva, socijalna poduzeća, kulturne i kreativne industrije te </w:t>
      </w:r>
      <w:r>
        <w:rPr>
          <w:noProof/>
        </w:rPr>
        <w:t xml:space="preserve">zadruge mogu pomoći u dopiranju do manje naseljenih područja i općenito su ključan čimbenik ruralnog socioekonomskog razvoja. Oni uvelike ovise o razini digitalnih vještina, dostupnosti i cjenovnoj pristupačnosti odgovarajuće </w:t>
      </w:r>
      <w:r>
        <w:rPr>
          <w:b/>
          <w:noProof/>
        </w:rPr>
        <w:t>digitalne infrastrukture i kap</w:t>
      </w:r>
      <w:r>
        <w:rPr>
          <w:b/>
          <w:noProof/>
        </w:rPr>
        <w:t>acitetima za učinkovito uvođenje digitalnih tehnologija</w:t>
      </w:r>
      <w:r>
        <w:rPr>
          <w:noProof/>
        </w:rPr>
        <w:t>, kao što su platforme za digitalne usluge. Internetska povezivost ključan je preduvjet za digitalnu transformaciju. Unatoč nedavnim poboljšanjima širokopojasne povezivosti velike brzine samo 59 % kuća</w:t>
      </w:r>
      <w:r>
        <w:rPr>
          <w:noProof/>
        </w:rPr>
        <w:t xml:space="preserve">nstava u ruralnim regijama, u usporedbi s 87 % kućanstava u EU-u, ima pristup širokopojasnom pristupu sljedeće generacije (&gt; 30 Mbps). </w:t>
      </w:r>
    </w:p>
    <w:p w:rsidR="00E25DD0" w:rsidRDefault="00216589">
      <w:pPr>
        <w:rPr>
          <w:noProof/>
          <w:color w:val="1F497D"/>
        </w:rPr>
      </w:pPr>
      <w:r>
        <w:rPr>
          <w:noProof/>
        </w:rPr>
        <w:lastRenderedPageBreak/>
        <w:t>Naposljetku, ruralna područja suočavaju se s posebnim problemima povezanima s klimatskim promjenama i uništavanjem okoliša. Na primjer, poljoprivreda i šumarstvo osjetljiviji su od urbanih gospodarskih djelatnosti na učestalije nepovoljne klimatske prilike</w:t>
      </w:r>
      <w:r>
        <w:rPr>
          <w:noProof/>
        </w:rPr>
        <w:t xml:space="preserve"> kao što su oluje, poplave i suše. Te sektore među prvima pogađaju posljedice gubitka bioraznolikosti, što ugrožava dugoročnu gospodarsku perspektivu ruralnih zajednica koje o njima ovise. </w:t>
      </w:r>
    </w:p>
    <w:p w:rsidR="00E25DD0" w:rsidRDefault="00216589">
      <w:pPr>
        <w:pStyle w:val="Naslov2"/>
        <w:rPr>
          <w:noProof/>
        </w:rPr>
      </w:pPr>
      <w:r>
        <w:rPr>
          <w:noProof/>
        </w:rPr>
        <w:t>1.2. Prilike u ruralnim područjima</w:t>
      </w:r>
    </w:p>
    <w:p w:rsidR="00E25DD0" w:rsidRDefault="00216589">
      <w:pPr>
        <w:rPr>
          <w:rFonts w:eastAsiaTheme="minorEastAsia"/>
          <w:noProof/>
        </w:rPr>
      </w:pPr>
      <w:r>
        <w:rPr>
          <w:noProof/>
        </w:rPr>
        <w:t>Novi društveni zahtjevi, prilike u zelenom gospodarstvu, mogućnosti koje otvara digitalna tehnologija te posljedice pandemije bolesti COVID-19 i širenje rada na daljinu ponovno su skrenuli pozornost na ruralna područja kao mjesta dobrobiti, sigurnosti, eko</w:t>
      </w:r>
      <w:r>
        <w:rPr>
          <w:noProof/>
        </w:rPr>
        <w:t xml:space="preserve">loški prihvatljivog načina života i novih mogućnosti za društvenu i gospodarsku obnovu. </w:t>
      </w:r>
    </w:p>
    <w:p w:rsidR="00E25DD0" w:rsidRDefault="00216589">
      <w:pPr>
        <w:rPr>
          <w:noProof/>
        </w:rPr>
      </w:pPr>
      <w:r>
        <w:rPr>
          <w:noProof/>
        </w:rPr>
        <w:t xml:space="preserve">Prirodni resursi ruralnih područja glavni su temelji na kojima se gradi održiva i prosperitetna budućnost. </w:t>
      </w:r>
      <w:r>
        <w:rPr>
          <w:b/>
          <w:noProof/>
        </w:rPr>
        <w:t>Ruralni krajolici prekriveni šumama i prirodnim područjima</w:t>
      </w:r>
      <w:r>
        <w:rPr>
          <w:noProof/>
        </w:rPr>
        <w:t xml:space="preserve">, </w:t>
      </w:r>
      <w:r>
        <w:rPr>
          <w:noProof/>
        </w:rPr>
        <w:t>ako se njima dobro upravlja, pomažu u reguliranju protoka vode, hvatanju ugljika i onečišćujućih tvari u zraku iz atmosfere te sprečavaju eroziju tla i pružaju usluge ekosustava</w:t>
      </w:r>
      <w:r>
        <w:rPr>
          <w:rStyle w:val="Referencafusnote"/>
          <w:noProof/>
        </w:rPr>
        <w:footnoteReference w:id="22"/>
      </w:r>
      <w:r>
        <w:rPr>
          <w:noProof/>
        </w:rPr>
        <w:t xml:space="preserve">. </w:t>
      </w:r>
      <w:r>
        <w:rPr>
          <w:b/>
          <w:noProof/>
        </w:rPr>
        <w:t xml:space="preserve">Održivo upravljanje poljoprivredom i šumama </w:t>
      </w:r>
      <w:r>
        <w:rPr>
          <w:noProof/>
        </w:rPr>
        <w:t>, koje obuhvaća okolišnu, gospod</w:t>
      </w:r>
      <w:r>
        <w:rPr>
          <w:noProof/>
        </w:rPr>
        <w:t xml:space="preserve">arsku i socijalnu održivost, pridonosi očuvanju dostojanstvenih radnih mjesta i izvora prihoda i ekoloških sustava i bioraznolikosti te jača otpornost na klimatske promjene i rizike. Poboljšanje kvalitete proizvodnje i potpora poljoprivrednicima, šumarima </w:t>
      </w:r>
      <w:r>
        <w:rPr>
          <w:noProof/>
        </w:rPr>
        <w:t xml:space="preserve">i ruralnim poduzetnicima u </w:t>
      </w:r>
      <w:r>
        <w:rPr>
          <w:b/>
          <w:noProof/>
        </w:rPr>
        <w:t>tranziciji prema zelenijem društvu i gospodarstvu</w:t>
      </w:r>
      <w:r>
        <w:rPr>
          <w:noProof/>
        </w:rPr>
        <w:t xml:space="preserve"> </w:t>
      </w:r>
      <w:r>
        <w:rPr>
          <w:noProof/>
          <w:u w:val="single"/>
        </w:rPr>
        <w:t>od ključne su važnosti</w:t>
      </w:r>
      <w:r>
        <w:rPr>
          <w:noProof/>
        </w:rPr>
        <w:t xml:space="preserve">. </w:t>
      </w:r>
    </w:p>
    <w:p w:rsidR="00E25DD0" w:rsidRDefault="00216589">
      <w:pPr>
        <w:rPr>
          <w:noProof/>
        </w:rPr>
      </w:pPr>
      <w:r>
        <w:rPr>
          <w:noProof/>
        </w:rPr>
        <w:t xml:space="preserve">Veća usmjerenost na ublažavanje klimatskih promjena, među ostalim </w:t>
      </w:r>
      <w:r>
        <w:rPr>
          <w:b/>
          <w:noProof/>
        </w:rPr>
        <w:t>proizvodnjom obnovljive energije</w:t>
      </w:r>
      <w:r>
        <w:rPr>
          <w:noProof/>
        </w:rPr>
        <w:t>, prilika je za ruralna područja u borbi protiv energets</w:t>
      </w:r>
      <w:r>
        <w:rPr>
          <w:noProof/>
        </w:rPr>
        <w:t>kog siromaštva, pod uvjetom da se usluge ekosustava vrednuju na odgovarajući način, a poslovni modeli zadrže vrijednost u ruralnim zajednicama.</w:t>
      </w:r>
    </w:p>
    <w:p w:rsidR="00E25DD0" w:rsidRDefault="00216589">
      <w:pPr>
        <w:rPr>
          <w:noProof/>
        </w:rPr>
      </w:pPr>
      <w:r>
        <w:rPr>
          <w:noProof/>
        </w:rPr>
        <w:t xml:space="preserve">U kontekstu </w:t>
      </w:r>
      <w:r>
        <w:rPr>
          <w:b/>
          <w:noProof/>
        </w:rPr>
        <w:t>europskog zelenog plana</w:t>
      </w:r>
      <w:r>
        <w:rPr>
          <w:rStyle w:val="Referencafusnote"/>
          <w:rFonts w:eastAsiaTheme="minorEastAsia"/>
          <w:b/>
          <w:noProof/>
        </w:rPr>
        <w:footnoteReference w:id="23"/>
      </w:r>
      <w:r>
        <w:rPr>
          <w:noProof/>
        </w:rPr>
        <w:t>, nove europske strategije rasta, ruralna područja imat će važnu ulogu u pre</w:t>
      </w:r>
      <w:r>
        <w:rPr>
          <w:noProof/>
        </w:rPr>
        <w:t xml:space="preserve">tvaranju Europe u </w:t>
      </w:r>
      <w:r>
        <w:rPr>
          <w:b/>
          <w:noProof/>
        </w:rPr>
        <w:t>prvi klimatski neutralan kontinent do 2050.</w:t>
      </w:r>
      <w:r>
        <w:rPr>
          <w:noProof/>
        </w:rPr>
        <w:t xml:space="preserve"> U ruralnim će se područjima za potrebe zelene tranzicije trebati razviti partnerstva u svim gospodarskim djelatnostima, među poduzećima iz svih sektora, lokalnim vlastima, istraživačima i usluga</w:t>
      </w:r>
      <w:r>
        <w:rPr>
          <w:noProof/>
        </w:rPr>
        <w:t xml:space="preserve">ma koje se temelje na </w:t>
      </w:r>
      <w:r>
        <w:rPr>
          <w:b/>
          <w:noProof/>
        </w:rPr>
        <w:t>inovacijama, razmjeni znanja i suradnji</w:t>
      </w:r>
      <w:r>
        <w:rPr>
          <w:noProof/>
        </w:rPr>
        <w:t>, među ostalim u okviru procesâ pametne specijalizacije</w:t>
      </w:r>
      <w:r>
        <w:rPr>
          <w:rStyle w:val="Referencafusnote"/>
          <w:noProof/>
        </w:rPr>
        <w:footnoteReference w:id="24"/>
      </w:r>
      <w:r>
        <w:rPr>
          <w:noProof/>
        </w:rPr>
        <w:t xml:space="preserve">. </w:t>
      </w:r>
    </w:p>
    <w:p w:rsidR="00E25DD0" w:rsidRDefault="00216589">
      <w:pPr>
        <w:rPr>
          <w:noProof/>
        </w:rPr>
      </w:pPr>
      <w:r>
        <w:rPr>
          <w:b/>
          <w:noProof/>
        </w:rPr>
        <w:t>Biogospodarstvo</w:t>
      </w:r>
      <w:r>
        <w:rPr>
          <w:noProof/>
        </w:rPr>
        <w:t xml:space="preserve"> je jedan od najvećih sektora Unije. Obuhvaća poljoprivredu, šumarstvo, ribarstvo, akvakulturu te proizvodnju hrane, hran</w:t>
      </w:r>
      <w:r>
        <w:rPr>
          <w:noProof/>
        </w:rPr>
        <w:t xml:space="preserve">e za životinje, bioenergije i bioproizvoda. Može pomoći EU-u da ubrza napredak prema kružnom i niskougljičnom gospodarstvu te će pridonijeti modernizaciji i jačanju njegova prehrambenog sektora te industrijske baze ruralnih područja. Zahvaljujući održivom </w:t>
      </w:r>
      <w:r>
        <w:rPr>
          <w:noProof/>
        </w:rPr>
        <w:t xml:space="preserve">biogospodarstvu i kružnom gospodarstvu nastat će novi, raznovrsniji lanci vrijednosti te zeleniji i troškovno </w:t>
      </w:r>
      <w:r>
        <w:rPr>
          <w:noProof/>
        </w:rPr>
        <w:lastRenderedPageBreak/>
        <w:t>učinkovitiji procesi i pritom će se zaštititi bioraznolikost i okoliš. Biogospodarstvo je 2017. ostvarilo 614 milijardi EUR dodane vrijednosti i u</w:t>
      </w:r>
      <w:r>
        <w:rPr>
          <w:noProof/>
        </w:rPr>
        <w:t xml:space="preserve"> tom je sektoru bilo zaposleno oko 17,5 milijuna ljudi u EU-u</w:t>
      </w:r>
      <w:r>
        <w:rPr>
          <w:rStyle w:val="Referencafusnote"/>
          <w:noProof/>
        </w:rPr>
        <w:footnoteReference w:id="25"/>
      </w:r>
      <w:r>
        <w:rPr>
          <w:noProof/>
        </w:rPr>
        <w:t xml:space="preserve">. U ruralnim područjima biogospodarstvo može potaknuti inovativna poslovna rješenja i može se poduprijeti inicijativama kao što su seoski inkubatori (engl. </w:t>
      </w:r>
      <w:r>
        <w:rPr>
          <w:i/>
          <w:iCs/>
          <w:noProof/>
        </w:rPr>
        <w:t>Startup Villages</w:t>
      </w:r>
      <w:r>
        <w:rPr>
          <w:rStyle w:val="Referencafusnote"/>
          <w:noProof/>
        </w:rPr>
        <w:footnoteReference w:id="26"/>
      </w:r>
      <w:r>
        <w:rPr>
          <w:noProof/>
        </w:rPr>
        <w:t>) i potpora MSP-ovima</w:t>
      </w:r>
      <w:r>
        <w:rPr>
          <w:noProof/>
        </w:rPr>
        <w:t xml:space="preserve">. </w:t>
      </w:r>
    </w:p>
    <w:p w:rsidR="00E25DD0" w:rsidRDefault="00216589">
      <w:pPr>
        <w:rPr>
          <w:noProof/>
        </w:rPr>
      </w:pPr>
      <w:r>
        <w:rPr>
          <w:noProof/>
        </w:rPr>
        <w:t xml:space="preserve">Radi otvaranja radnih mjesta u pogođenim područjima uz te nove gospodarske prilike potrebno je utvrditi održive i inovativne načine za iskorištavanje </w:t>
      </w:r>
      <w:r>
        <w:rPr>
          <w:b/>
          <w:noProof/>
        </w:rPr>
        <w:t>nekadašnjih</w:t>
      </w:r>
      <w:r>
        <w:rPr>
          <w:noProof/>
        </w:rPr>
        <w:t xml:space="preserve"> </w:t>
      </w:r>
      <w:r>
        <w:rPr>
          <w:b/>
          <w:noProof/>
        </w:rPr>
        <w:t>rudnika</w:t>
      </w:r>
      <w:r>
        <w:rPr>
          <w:noProof/>
        </w:rPr>
        <w:t xml:space="preserve"> i </w:t>
      </w:r>
      <w:r>
        <w:rPr>
          <w:b/>
          <w:noProof/>
        </w:rPr>
        <w:t>mjesta</w:t>
      </w:r>
      <w:r>
        <w:rPr>
          <w:noProof/>
        </w:rPr>
        <w:t xml:space="preserve"> </w:t>
      </w:r>
      <w:r>
        <w:rPr>
          <w:b/>
          <w:noProof/>
        </w:rPr>
        <w:t>vađenja minerala</w:t>
      </w:r>
      <w:r>
        <w:rPr>
          <w:noProof/>
        </w:rPr>
        <w:t>, posebno obnovom narušenih ekosustava i usluga koje oni p</w:t>
      </w:r>
      <w:r>
        <w:rPr>
          <w:noProof/>
        </w:rPr>
        <w:t>ružaju lokalnim zajednicama.</w:t>
      </w:r>
    </w:p>
    <w:p w:rsidR="00E25DD0" w:rsidRDefault="00216589">
      <w:pPr>
        <w:rPr>
          <w:noProof/>
        </w:rPr>
      </w:pPr>
      <w:r>
        <w:rPr>
          <w:b/>
          <w:bCs/>
          <w:noProof/>
        </w:rPr>
        <w:t>Sve veća potražnja potrošača</w:t>
      </w:r>
      <w:r>
        <w:rPr>
          <w:noProof/>
        </w:rPr>
        <w:t xml:space="preserve"> za kvalitetnijom, </w:t>
      </w:r>
      <w:r>
        <w:rPr>
          <w:b/>
          <w:bCs/>
          <w:noProof/>
        </w:rPr>
        <w:t>održivijom i zdravijom hranom, uključujući ekološke proizvode</w:t>
      </w:r>
      <w:r>
        <w:rPr>
          <w:noProof/>
        </w:rPr>
        <w:t xml:space="preserve">, može stvoriti </w:t>
      </w:r>
      <w:r>
        <w:rPr>
          <w:b/>
          <w:bCs/>
          <w:noProof/>
        </w:rPr>
        <w:t>nove mogućnosti</w:t>
      </w:r>
      <w:r>
        <w:rPr>
          <w:noProof/>
        </w:rPr>
        <w:t xml:space="preserve"> za poljoprivrednike i ruralno gospodarstvo. Prelazak na metode ekološke proizvodnje, </w:t>
      </w:r>
      <w:r>
        <w:rPr>
          <w:b/>
          <w:noProof/>
        </w:rPr>
        <w:t>ra</w:t>
      </w:r>
      <w:r>
        <w:rPr>
          <w:b/>
          <w:noProof/>
        </w:rPr>
        <w:t>zvoj kratkih lanaca opskrbe, lokalna prerada</w:t>
      </w:r>
      <w:r>
        <w:rPr>
          <w:noProof/>
        </w:rPr>
        <w:t xml:space="preserve"> i inovativni proizvodi, u skladu sa strategijom EU-a „od polja do stola” i akcijskim planom za razvoj ekološkog sektora</w:t>
      </w:r>
      <w:r>
        <w:rPr>
          <w:rStyle w:val="Referencafusnote"/>
          <w:noProof/>
        </w:rPr>
        <w:footnoteReference w:id="27"/>
      </w:r>
      <w:r>
        <w:rPr>
          <w:noProof/>
        </w:rPr>
        <w:t xml:space="preserve">, mogu pridonijeti jačanju uloge poljoprivrednika i povećanju njihovih prihoda. </w:t>
      </w:r>
    </w:p>
    <w:p w:rsidR="00E25DD0" w:rsidRDefault="00216589">
      <w:pPr>
        <w:rPr>
          <w:noProof/>
        </w:rPr>
      </w:pPr>
      <w:r>
        <w:rPr>
          <w:noProof/>
        </w:rPr>
        <w:t>Sektori ka</w:t>
      </w:r>
      <w:r>
        <w:rPr>
          <w:noProof/>
        </w:rPr>
        <w:t xml:space="preserve">o što je </w:t>
      </w:r>
      <w:r>
        <w:rPr>
          <w:b/>
          <w:noProof/>
        </w:rPr>
        <w:t>turizam</w:t>
      </w:r>
      <w:r>
        <w:rPr>
          <w:noProof/>
        </w:rPr>
        <w:t xml:space="preserve"> ostvaruju korist i od šire ponude kvalitetnih turističkih aktivnosti, uključujući aktivnosti na poljoprivrednim gospodarstvima, proizvodnju lokalnih kvalitetnih proizvoda, odgovarajuće upravljanje krajobrazima i interakcije mora i kopna u </w:t>
      </w:r>
      <w:r>
        <w:rPr>
          <w:noProof/>
        </w:rPr>
        <w:t>obalnim ruralnim područjima. U tom su pogledu, posebno u kombinaciji s mrežom Natura 2000, vrlo obećavajući koncept „</w:t>
      </w:r>
      <w:r>
        <w:rPr>
          <w:b/>
          <w:noProof/>
        </w:rPr>
        <w:t>biookruzi</w:t>
      </w:r>
      <w:r>
        <w:rPr>
          <w:noProof/>
        </w:rPr>
        <w:t xml:space="preserve">”, odnosno zemljopisna područja na kojima poljoprivrednici, građani, turistički subjekti, udruge i javna tijela sklapaju sporazum </w:t>
      </w:r>
      <w:r>
        <w:rPr>
          <w:noProof/>
        </w:rPr>
        <w:t xml:space="preserve">o održivom upravljanju lokalnim resursima, vodeći se ekološkim načelima i ekološkom praksom. Stoga je važno uzeti u obzir potrebe </w:t>
      </w:r>
      <w:r>
        <w:rPr>
          <w:b/>
          <w:noProof/>
        </w:rPr>
        <w:t>malih i srednjih poljoprivrednika</w:t>
      </w:r>
      <w:r>
        <w:rPr>
          <w:noProof/>
        </w:rPr>
        <w:t xml:space="preserve">, </w:t>
      </w:r>
      <w:r>
        <w:rPr>
          <w:b/>
          <w:noProof/>
        </w:rPr>
        <w:t>privući mlade i nove poljoprivrednike i poljoprivrednice</w:t>
      </w:r>
      <w:r>
        <w:rPr>
          <w:noProof/>
        </w:rPr>
        <w:t xml:space="preserve"> te spriječiti napuštanje zemljišta</w:t>
      </w:r>
      <w:r>
        <w:rPr>
          <w:noProof/>
        </w:rPr>
        <w:t xml:space="preserve"> i olakšati pristup zemljištu. Trebalo bi uključiti i poljoprivredne radnike, uključujući sezonske radnike i radnike migrantskog podrijetla. Osim toga, trebalo bi podržati razvoj turističkih ponuda i upravljanje njima, uz potpuno iskorištavanje tehnologije</w:t>
      </w:r>
      <w:r>
        <w:rPr>
          <w:noProof/>
        </w:rPr>
        <w:t xml:space="preserve"> i digitalnih usluga. </w:t>
      </w:r>
    </w:p>
    <w:p w:rsidR="00E25DD0" w:rsidRDefault="00216589">
      <w:pPr>
        <w:rPr>
          <w:rFonts w:eastAsiaTheme="minorEastAsia"/>
          <w:noProof/>
        </w:rPr>
      </w:pPr>
      <w:r>
        <w:rPr>
          <w:noProof/>
        </w:rPr>
        <w:t>Digitalna povezivost ključni je pokretač diversifikacije gospodarskih djelatnosti u ruralnim područjima. Poduzetnicima i novoosnovanim poduzećima olakšat će se osnivanje i rast poduzeća, čime će se stvoriti nove gospodarske mogućnost</w:t>
      </w:r>
      <w:r>
        <w:rPr>
          <w:noProof/>
        </w:rPr>
        <w:t>i za ruralna područja. Razvoj inovacijskih ekosustava omogućit će ruralnim zajednicama stvaranje visokokvalitetnih radnih mjesta u ruralnim područjima u svim sektorima.</w:t>
      </w:r>
    </w:p>
    <w:p w:rsidR="00E25DD0" w:rsidRDefault="00216589">
      <w:pPr>
        <w:rPr>
          <w:noProof/>
        </w:rPr>
      </w:pPr>
      <w:r>
        <w:rPr>
          <w:noProof/>
        </w:rPr>
        <w:t xml:space="preserve">Važne prilike za ruralna područja odnose se i na </w:t>
      </w:r>
      <w:r>
        <w:rPr>
          <w:b/>
          <w:noProof/>
        </w:rPr>
        <w:t>kvalitetu života i uključivanje lokaln</w:t>
      </w:r>
      <w:r>
        <w:rPr>
          <w:b/>
          <w:noProof/>
        </w:rPr>
        <w:t>ih zajednica u donošenje odluka.</w:t>
      </w:r>
      <w:r>
        <w:rPr>
          <w:noProof/>
        </w:rPr>
        <w:t xml:space="preserve"> Vjerojatno je da će i mogućnosti aktivnog sudjelovanja u javnom i društvenom životu, uključujući umjetničke i kulturne aktivnosti, utjecati na relativnu privlačnost ruralnih područja. </w:t>
      </w:r>
    </w:p>
    <w:p w:rsidR="00E25DD0" w:rsidRDefault="00216589">
      <w:pPr>
        <w:rPr>
          <w:noProof/>
        </w:rPr>
      </w:pPr>
      <w:r>
        <w:rPr>
          <w:noProof/>
        </w:rPr>
        <w:br w:type="page"/>
      </w:r>
    </w:p>
    <w:p w:rsidR="00E25DD0" w:rsidRDefault="00216589">
      <w:pPr>
        <w:pStyle w:val="Naslov1"/>
        <w:numPr>
          <w:ilvl w:val="0"/>
          <w:numId w:val="10"/>
        </w:numPr>
        <w:rPr>
          <w:noProof/>
        </w:rPr>
      </w:pPr>
      <w:r>
        <w:rPr>
          <w:noProof/>
        </w:rPr>
        <w:lastRenderedPageBreak/>
        <w:t>Vizija za ruralna područja do 2040.</w:t>
      </w:r>
    </w:p>
    <w:p w:rsidR="00E25DD0" w:rsidRDefault="00216589">
      <w:pPr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5471981" cy="2616291"/>
            <wp:effectExtent l="0" t="0" r="1905" b="0"/>
            <wp:docPr id="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981" cy="261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DD0" w:rsidRDefault="00216589">
      <w:pPr>
        <w:rPr>
          <w:noProof/>
        </w:rPr>
      </w:pPr>
      <w:r>
        <w:rPr>
          <w:noProof/>
        </w:rPr>
        <w:t>Problemi i prilike s kojima se suočavaju ruralna područja, od kojih će neki vjerojatno i dalje postojati u budućnosti, temelj su za utvrđivanje vizije. Građani i organizacije iz ruralnih područja</w:t>
      </w:r>
      <w:r>
        <w:rPr>
          <w:rStyle w:val="Referencafusnote"/>
          <w:noProof/>
        </w:rPr>
        <w:footnoteReference w:id="28"/>
      </w:r>
      <w:r>
        <w:rPr>
          <w:noProof/>
        </w:rPr>
        <w:t xml:space="preserve"> bili su uvelike uključeni u oblikovanje ove vizije o razvoju ruralnih područja do 2040. Osim toga, proveden je i poseban postupak predviđanja</w:t>
      </w:r>
      <w:r>
        <w:rPr>
          <w:rStyle w:val="Referencafusnote"/>
          <w:iCs/>
          <w:noProof/>
        </w:rPr>
        <w:footnoteReference w:id="29"/>
      </w:r>
      <w:r>
        <w:rPr>
          <w:noProof/>
        </w:rPr>
        <w:t>. U njemu su uzeti u obzir megatrendovi</w:t>
      </w:r>
      <w:r>
        <w:rPr>
          <w:rStyle w:val="Referencafusnote"/>
          <w:iCs/>
          <w:noProof/>
        </w:rPr>
        <w:footnoteReference w:id="30"/>
      </w:r>
      <w:r>
        <w:rPr>
          <w:noProof/>
        </w:rPr>
        <w:t xml:space="preserve"> koji pokreću transformacije do 2040. i utvrđeni su glavni temeljni čimbe</w:t>
      </w:r>
      <w:r>
        <w:rPr>
          <w:noProof/>
        </w:rPr>
        <w:t xml:space="preserve">nici promjene, odnosno </w:t>
      </w:r>
      <w:r>
        <w:rPr>
          <w:b/>
          <w:noProof/>
        </w:rPr>
        <w:t>„pokretači”</w:t>
      </w:r>
      <w:r>
        <w:rPr>
          <w:noProof/>
        </w:rPr>
        <w:t xml:space="preserve">, za koje se očekuje da će oblikovati </w:t>
      </w:r>
      <w:r>
        <w:rPr>
          <w:b/>
          <w:noProof/>
        </w:rPr>
        <w:t>budućnost ruralnih područja</w:t>
      </w:r>
      <w:r>
        <w:rPr>
          <w:noProof/>
        </w:rPr>
        <w:t xml:space="preserve"> (vidjeti grafikon 1.). Istaknuto je da su </w:t>
      </w:r>
      <w:r>
        <w:rPr>
          <w:b/>
          <w:noProof/>
        </w:rPr>
        <w:t>demografija</w:t>
      </w:r>
      <w:r>
        <w:rPr>
          <w:noProof/>
        </w:rPr>
        <w:t xml:space="preserve"> i </w:t>
      </w:r>
      <w:r>
        <w:rPr>
          <w:b/>
          <w:noProof/>
        </w:rPr>
        <w:t>upravljanje</w:t>
      </w:r>
      <w:r>
        <w:rPr>
          <w:noProof/>
        </w:rPr>
        <w:t xml:space="preserve"> pokretači koji ostavljaju najveće posljedice, ali su i najneizvjesniji, te su na temelju</w:t>
      </w:r>
      <w:r>
        <w:rPr>
          <w:noProof/>
        </w:rPr>
        <w:t xml:space="preserve"> njih utvrđena četiri </w:t>
      </w:r>
      <w:r>
        <w:rPr>
          <w:b/>
          <w:noProof/>
        </w:rPr>
        <w:t>scenarija</w:t>
      </w:r>
      <w:r>
        <w:rPr>
          <w:noProof/>
        </w:rPr>
        <w:t>. Svaki od njih prikazuje moguću budućnost ruralnih područja 2040., ovisno o njihovoj sposobnosti privlačenja novih stanovnika i kvaliteti višerazinskog upravljanja. U scenarijima se razmatraju i međuovisnosti ruralnih i grad</w:t>
      </w:r>
      <w:r>
        <w:rPr>
          <w:noProof/>
        </w:rPr>
        <w:t>skih područja</w:t>
      </w:r>
      <w:r>
        <w:rPr>
          <w:rStyle w:val="Referencafusnote"/>
          <w:noProof/>
        </w:rPr>
        <w:footnoteReference w:id="31"/>
      </w:r>
      <w:r>
        <w:rPr>
          <w:noProof/>
        </w:rPr>
        <w:t xml:space="preserve">. </w:t>
      </w:r>
    </w:p>
    <w:p w:rsidR="00E25DD0" w:rsidRDefault="00216589">
      <w:pPr>
        <w:rPr>
          <w:noProof/>
        </w:rPr>
      </w:pPr>
      <w:r>
        <w:rPr>
          <w:noProof/>
        </w:rPr>
        <w:t xml:space="preserve">Na temelju utvrđenih pokretača, scenarija i brojnih aktivnosti savjetovanja određena su četiri međusobno komplementarna </w:t>
      </w:r>
      <w:r>
        <w:rPr>
          <w:b/>
          <w:noProof/>
        </w:rPr>
        <w:t>područja djelovanja</w:t>
      </w:r>
      <w:r>
        <w:rPr>
          <w:noProof/>
        </w:rPr>
        <w:t xml:space="preserve"> koja zajedno tvore dugoročnu viziju čiji su </w:t>
      </w:r>
      <w:r>
        <w:rPr>
          <w:i/>
          <w:noProof/>
        </w:rPr>
        <w:t>temelj</w:t>
      </w:r>
      <w:r>
        <w:rPr>
          <w:noProof/>
        </w:rPr>
        <w:t xml:space="preserve">, </w:t>
      </w:r>
      <w:r>
        <w:rPr>
          <w:i/>
          <w:noProof/>
        </w:rPr>
        <w:t>nadahnuće</w:t>
      </w:r>
      <w:r>
        <w:rPr>
          <w:noProof/>
        </w:rPr>
        <w:t xml:space="preserve"> i </w:t>
      </w:r>
      <w:r>
        <w:rPr>
          <w:i/>
          <w:noProof/>
        </w:rPr>
        <w:t>cilj</w:t>
      </w:r>
      <w:r>
        <w:rPr>
          <w:noProof/>
        </w:rPr>
        <w:t xml:space="preserve"> </w:t>
      </w:r>
      <w:r>
        <w:rPr>
          <w:b/>
          <w:noProof/>
        </w:rPr>
        <w:t>jača, povezana, otporna i pros</w:t>
      </w:r>
      <w:r>
        <w:rPr>
          <w:b/>
          <w:noProof/>
        </w:rPr>
        <w:t>peritetna ruralna područja do 2040.</w:t>
      </w:r>
      <w:r>
        <w:rPr>
          <w:noProof/>
        </w:rPr>
        <w:t xml:space="preserve"> </w:t>
      </w:r>
    </w:p>
    <w:p w:rsidR="00E25DD0" w:rsidRDefault="00216589">
      <w:pPr>
        <w:spacing w:after="200" w:line="276" w:lineRule="auto"/>
        <w:jc w:val="left"/>
        <w:rPr>
          <w:b/>
          <w:noProof/>
        </w:rPr>
      </w:pPr>
      <w:r>
        <w:rPr>
          <w:noProof/>
        </w:rPr>
        <w:br w:type="page"/>
      </w:r>
    </w:p>
    <w:p w:rsidR="00E25DD0" w:rsidRDefault="00216589">
      <w:pPr>
        <w:spacing w:after="200" w:line="276" w:lineRule="auto"/>
        <w:jc w:val="left"/>
        <w:rPr>
          <w:b/>
          <w:noProof/>
        </w:rPr>
      </w:pPr>
      <w:r>
        <w:rPr>
          <w:b/>
          <w:noProof/>
        </w:rPr>
        <w:lastRenderedPageBreak/>
        <w:t>Grafikon 1.: Glavni pokretači koji oblikuju budućnost ruralnih područja za 2040. i četiri međusobno komplementarna područja djelovanja</w:t>
      </w:r>
    </w:p>
    <w:p w:rsidR="00E25DD0" w:rsidRDefault="00216589">
      <w:pPr>
        <w:rPr>
          <w:b/>
          <w:noProof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>
                <wp:simplePos x="0" y="0"/>
                <wp:positionH relativeFrom="column">
                  <wp:posOffset>62377</wp:posOffset>
                </wp:positionH>
                <wp:positionV relativeFrom="paragraph">
                  <wp:posOffset>189230</wp:posOffset>
                </wp:positionV>
                <wp:extent cx="2229887" cy="1005778"/>
                <wp:effectExtent l="12700" t="12700" r="18415" b="1079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87" cy="1005778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EFC312"/>
                          </a:solidFill>
                          <a:round/>
                        </a:ln>
                      </wps:spPr>
                      <wps:txbx>
                        <w:txbxContent>
                          <w:p w:rsidR="00E25DD0" w:rsidRDefault="00216589">
                            <w:pPr>
                              <w:spacing w:after="120"/>
                              <w:ind w:left="142"/>
                              <w:jc w:val="left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Jača</w:t>
                            </w:r>
                          </w:p>
                          <w:p w:rsidR="00E25DD0" w:rsidRDefault="00216589">
                            <w:pPr>
                              <w:pStyle w:val="Odlomakpopisa"/>
                              <w:numPr>
                                <w:ilvl w:val="0"/>
                                <w:numId w:val="26"/>
                              </w:numPr>
                              <w:ind w:left="426" w:hanging="141"/>
                            </w:pPr>
                            <w:r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Osnažene zajednice</w:t>
                            </w:r>
                          </w:p>
                          <w:p w:rsidR="00E25DD0" w:rsidRDefault="00216589">
                            <w:pPr>
                              <w:pStyle w:val="Odlomakpopisa"/>
                              <w:numPr>
                                <w:ilvl w:val="0"/>
                                <w:numId w:val="26"/>
                              </w:numPr>
                              <w:ind w:left="426" w:hanging="141"/>
                            </w:pPr>
                            <w:r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Pristup uslugama</w:t>
                            </w:r>
                          </w:p>
                          <w:p w:rsidR="00E25DD0" w:rsidRDefault="00216589">
                            <w:pPr>
                              <w:pStyle w:val="Odlomakpopisa"/>
                              <w:numPr>
                                <w:ilvl w:val="0"/>
                                <w:numId w:val="26"/>
                              </w:numPr>
                              <w:ind w:left="426" w:hanging="141"/>
                            </w:pPr>
                            <w:r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Socijalne inovacije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7" type="#_x0000_t202" style="position:absolute;left:0;text-align:left;margin-left:4.9pt;margin-top:14.9pt;width:175.6pt;height:79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" filled="f" strokecolor="#efc312" strokeweight="2pt">
                <v:stroke joinstyle="round" endcap="round"/>
                <v:textbox inset="0,,0">
                  <w:txbxContent>
                    <w:p>
                      <w:pPr>
                        <w:spacing w:after="120"/>
                        <w:ind w:left="142"/>
                        <w:jc w:val="left"/>
                        <w:rPr>
                          <w:rFonts w:ascii="Franklin Gothic Medium" w:hAnsi="Franklin Gothic Medium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Jača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426" w:hanging="141"/>
                      </w:pPr>
                      <w:r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Osnažene zajednice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426" w:hanging="141"/>
                      </w:pPr>
                      <w:r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Pristup uslugama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426" w:hanging="141"/>
                      </w:pPr>
                      <w:r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Socijalne inovacije</w:t>
                      </w:r>
                    </w:p>
                  </w:txbxContent>
                </v:textbox>
              </v:shape>
            </w:pict>
          </mc:Fallback>
        </mc:AlternateContent>
      </w:r>
    </w:p>
    <w:p w:rsidR="00E25DD0" w:rsidRDefault="00216589">
      <w:pPr>
        <w:rPr>
          <w:b/>
          <w:noProof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3855749</wp:posOffset>
                </wp:positionH>
                <wp:positionV relativeFrom="paragraph">
                  <wp:posOffset>64770</wp:posOffset>
                </wp:positionV>
                <wp:extent cx="1614805" cy="1005778"/>
                <wp:effectExtent l="12700" t="12700" r="10795" b="1079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005778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70C7F1"/>
                          </a:solidFill>
                          <a:round/>
                        </a:ln>
                      </wps:spPr>
                      <wps:txbx>
                        <w:txbxContent>
                          <w:p w:rsidR="00E25DD0" w:rsidRDefault="00216589">
                            <w:pPr>
                              <w:spacing w:after="120"/>
                              <w:ind w:left="142"/>
                              <w:jc w:val="left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Povezana</w:t>
                            </w:r>
                          </w:p>
                          <w:p w:rsidR="00E25DD0" w:rsidRDefault="00216589">
                            <w:pPr>
                              <w:pStyle w:val="Odlomakpopisa"/>
                              <w:numPr>
                                <w:ilvl w:val="0"/>
                                <w:numId w:val="26"/>
                              </w:numPr>
                              <w:ind w:left="426" w:hanging="141"/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Digitalna povezivost</w:t>
                            </w:r>
                          </w:p>
                          <w:p w:rsidR="00E25DD0" w:rsidRDefault="00216589">
                            <w:pPr>
                              <w:pStyle w:val="Odlomakpopisa"/>
                              <w:numPr>
                                <w:ilvl w:val="0"/>
                                <w:numId w:val="26"/>
                              </w:numPr>
                              <w:ind w:left="426" w:hanging="141"/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Prometne veze i 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novi oblici mobilnosti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28" type="#_x0000_t202" style="position:absolute;left:0;text-align:left;margin-left:303.6pt;margin-top:5.1pt;width:127.15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" filled="f" strokecolor="#70c7f1" strokeweight="2pt">
                <v:stroke joinstyle="round" endcap="round"/>
                <v:textbox inset="0,,0">
                  <w:txbxContent>
                    <w:p>
                      <w:pPr>
                        <w:spacing w:after="120"/>
                        <w:ind w:left="142"/>
                        <w:jc w:val="left"/>
                        <w:rPr>
                          <w:rFonts w:ascii="Franklin Gothic Medium" w:hAnsi="Franklin Gothic Medium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Povezana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426" w:hanging="141"/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Digitalna povezivost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426" w:hanging="141"/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Prometne veze i 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novi oblici mobilnosti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hr-HR"/>
        </w:rPr>
        <w:drawing>
          <wp:anchor distT="0" distB="0" distL="114300" distR="114300" simplePos="0" relativeHeight="251658243" behindDoc="0" locked="0" layoutInCell="1" allowOverlap="1">
            <wp:simplePos x="0" y="0"/>
            <wp:positionH relativeFrom="column">
              <wp:posOffset>1306085</wp:posOffset>
            </wp:positionH>
            <wp:positionV relativeFrom="paragraph">
              <wp:posOffset>4527</wp:posOffset>
            </wp:positionV>
            <wp:extent cx="2983230" cy="291035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45" cy="291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DD0" w:rsidRDefault="00E25DD0">
      <w:pPr>
        <w:rPr>
          <w:b/>
          <w:noProof/>
        </w:rPr>
      </w:pPr>
    </w:p>
    <w:p w:rsidR="00E25DD0" w:rsidRDefault="00E25DD0">
      <w:pPr>
        <w:rPr>
          <w:b/>
          <w:noProof/>
        </w:rPr>
      </w:pPr>
    </w:p>
    <w:p w:rsidR="00E25DD0" w:rsidRDefault="00E25DD0">
      <w:pPr>
        <w:rPr>
          <w:b/>
          <w:noProof/>
        </w:rPr>
      </w:pPr>
    </w:p>
    <w:p w:rsidR="00E25DD0" w:rsidRDefault="00E25DD0">
      <w:pPr>
        <w:rPr>
          <w:b/>
          <w:noProof/>
        </w:rPr>
      </w:pPr>
    </w:p>
    <w:p w:rsidR="00E25DD0" w:rsidRDefault="00216589">
      <w:pPr>
        <w:rPr>
          <w:b/>
          <w:noProof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52380</wp:posOffset>
                </wp:positionH>
                <wp:positionV relativeFrom="paragraph">
                  <wp:posOffset>151927</wp:posOffset>
                </wp:positionV>
                <wp:extent cx="2229887" cy="990910"/>
                <wp:effectExtent l="12700" t="12700" r="18415" b="1270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87" cy="990910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E63335"/>
                          </a:solidFill>
                          <a:round/>
                        </a:ln>
                      </wps:spPr>
                      <wps:txbx>
                        <w:txbxContent>
                          <w:p w:rsidR="00E25DD0" w:rsidRDefault="00216589">
                            <w:pPr>
                              <w:spacing w:after="120"/>
                              <w:ind w:left="142"/>
                              <w:jc w:val="left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Prosperitetna</w:t>
                            </w:r>
                          </w:p>
                          <w:p w:rsidR="00E25DD0" w:rsidRDefault="00216589">
                            <w:pPr>
                              <w:pStyle w:val="Odlomakpopisa"/>
                              <w:numPr>
                                <w:ilvl w:val="0"/>
                                <w:numId w:val="26"/>
                              </w:numPr>
                              <w:ind w:left="426" w:hanging="142"/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Diversifikacija 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gospodarskih djelatnosti</w:t>
                            </w:r>
                          </w:p>
                          <w:p w:rsidR="00E25DD0" w:rsidRDefault="00216589">
                            <w:pPr>
                              <w:pStyle w:val="Odlomakpopisa"/>
                              <w:numPr>
                                <w:ilvl w:val="0"/>
                                <w:numId w:val="26"/>
                              </w:numPr>
                              <w:ind w:left="426" w:hanging="142"/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Održiva proizvodnja hrane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29" type="#_x0000_t202" style="position:absolute;left:0;text-align:left;margin-left:4.1pt;margin-top:11.95pt;width:175.6pt;height:7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" filled="f" strokecolor="#e63335" strokeweight="2pt">
                <v:stroke joinstyle="round" endcap="round"/>
                <v:textbox inset="0,,0">
                  <w:txbxContent>
                    <w:p>
                      <w:pPr>
                        <w:spacing w:after="120"/>
                        <w:ind w:left="142"/>
                        <w:jc w:val="left"/>
                        <w:rPr>
                          <w:rFonts w:ascii="Franklin Gothic Medium" w:hAnsi="Franklin Gothic Medium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Prosperitetna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426" w:hanging="142"/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Diversifikacija 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gospodarskih djelatnosti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426" w:hanging="142"/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Održiva proizvodnja hrane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3856281</wp:posOffset>
                </wp:positionH>
                <wp:positionV relativeFrom="paragraph">
                  <wp:posOffset>165410</wp:posOffset>
                </wp:positionV>
                <wp:extent cx="1615378" cy="1273098"/>
                <wp:effectExtent l="12700" t="12700" r="10795" b="1016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378" cy="1273098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6AB974"/>
                          </a:solidFill>
                          <a:round/>
                        </a:ln>
                      </wps:spPr>
                      <wps:txbx>
                        <w:txbxContent>
                          <w:p w:rsidR="00E25DD0" w:rsidRDefault="00216589">
                            <w:pPr>
                              <w:spacing w:after="120"/>
                              <w:ind w:left="142"/>
                              <w:jc w:val="left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Otporn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E25DD0" w:rsidRDefault="00216589">
                            <w:pPr>
                              <w:pStyle w:val="Odlomakpopisa"/>
                              <w:numPr>
                                <w:ilvl w:val="0"/>
                                <w:numId w:val="26"/>
                              </w:numPr>
                              <w:ind w:left="426" w:hanging="141"/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Otpornost na klimatske promjene </w:t>
                            </w:r>
                          </w:p>
                          <w:p w:rsidR="00E25DD0" w:rsidRDefault="00216589">
                            <w:pPr>
                              <w:pStyle w:val="Odlomakpopisa"/>
                              <w:numPr>
                                <w:ilvl w:val="0"/>
                                <w:numId w:val="26"/>
                              </w:numPr>
                              <w:ind w:left="426" w:hanging="141"/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Otpornost okoliša  </w:t>
                            </w:r>
                          </w:p>
                          <w:p w:rsidR="00E25DD0" w:rsidRDefault="00216589">
                            <w:pPr>
                              <w:pStyle w:val="Odlomakpopisa"/>
                              <w:numPr>
                                <w:ilvl w:val="0"/>
                                <w:numId w:val="26"/>
                              </w:numPr>
                              <w:ind w:left="426" w:hanging="141"/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Socijalna otporno</w:t>
                            </w:r>
                            <w:r>
                              <w:rPr>
                                <w:rFonts w:ascii="Franklin Gothic Medium" w:hAnsi="Franklin Gothic Medium"/>
                                <w:color w:val="7F7F7F" w:themeColor="text1" w:themeTint="8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0" type="#_x0000_t202" style="position:absolute;left:0;text-align:left;margin-left:303.65pt;margin-top:13pt;width:127.2pt;height:100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" filled="f" strokecolor="#6ab974" strokeweight="2pt">
                <v:stroke joinstyle="round" endcap="round"/>
                <v:textbox inset="3mm,,0">
                  <w:txbxContent>
                    <w:p>
                      <w:pPr>
                        <w:spacing w:after="120"/>
                        <w:ind w:left="142"/>
                        <w:jc w:val="left"/>
                        <w:rPr>
                          <w:rFonts w:ascii="Franklin Gothic Medium" w:hAnsi="Franklin Gothic Medium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Otporna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426" w:hanging="141"/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Otpornost na klimatske promjene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426" w:hanging="141"/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Otpornost okoliša 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426" w:hanging="141"/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Medium" w:hAnsi="Franklin Gothic Medium"/>
                          <w:color w:val="7F7F7F" w:themeColor="text1" w:themeTint="8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Socijalna otpornost  </w:t>
                      </w:r>
                    </w:p>
                  </w:txbxContent>
                </v:textbox>
              </v:shape>
            </w:pict>
          </mc:Fallback>
        </mc:AlternateContent>
      </w:r>
    </w:p>
    <w:p w:rsidR="00E25DD0" w:rsidRDefault="00E25DD0">
      <w:pPr>
        <w:rPr>
          <w:b/>
          <w:noProof/>
        </w:rPr>
      </w:pPr>
    </w:p>
    <w:p w:rsidR="00E25DD0" w:rsidRDefault="00E25DD0">
      <w:pPr>
        <w:rPr>
          <w:b/>
          <w:noProof/>
        </w:rPr>
      </w:pPr>
    </w:p>
    <w:p w:rsidR="00E25DD0" w:rsidRDefault="00E25DD0">
      <w:pPr>
        <w:rPr>
          <w:b/>
          <w:noProof/>
        </w:rPr>
      </w:pPr>
    </w:p>
    <w:p w:rsidR="00E25DD0" w:rsidRDefault="00216589">
      <w:pPr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  <w:sz w:val="20"/>
        </w:rPr>
        <w:t>Izvor: Europska komisija</w:t>
      </w:r>
    </w:p>
    <w:p w:rsidR="00E25DD0" w:rsidRDefault="00E25DD0">
      <w:pPr>
        <w:spacing w:after="0"/>
        <w:rPr>
          <w:noProof/>
          <w:sz w:val="20"/>
        </w:rPr>
      </w:pPr>
    </w:p>
    <w:p w:rsidR="00E25DD0" w:rsidRDefault="00216589">
      <w:pPr>
        <w:pStyle w:val="Naslov2"/>
        <w:numPr>
          <w:ilvl w:val="1"/>
          <w:numId w:val="10"/>
        </w:numPr>
        <w:ind w:left="858"/>
        <w:rPr>
          <w:noProof/>
          <w:color w:val="EFAC12"/>
          <w:sz w:val="28"/>
          <w:szCs w:val="28"/>
        </w:rPr>
      </w:pPr>
      <w:r>
        <w:rPr>
          <w:noProof/>
          <w:color w:val="EFAC12"/>
          <w:sz w:val="28"/>
          <w:szCs w:val="28"/>
        </w:rPr>
        <w:t xml:space="preserve"> Jača ruralna područja</w:t>
      </w:r>
    </w:p>
    <w:p w:rsidR="00E25DD0" w:rsidRDefault="00216589">
      <w:pPr>
        <w:pStyle w:val="Text2"/>
        <w:ind w:left="0"/>
        <w:rPr>
          <w:noProof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95250</wp:posOffset>
                </wp:positionV>
                <wp:extent cx="3883660" cy="1524000"/>
                <wp:effectExtent l="0" t="0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DD0" w:rsidRDefault="00216589">
                            <w:pPr>
                              <w:spacing w:before="120"/>
                              <w:jc w:val="left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„Inovacije u ruralnim područjima ne predvode velika poduzeća.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Predvodi ih zajednica.”</w:t>
                            </w:r>
                          </w:p>
                          <w:p w:rsidR="00E25DD0" w:rsidRDefault="00216589">
                            <w:pPr>
                              <w:spacing w:before="120"/>
                              <w:jc w:val="left"/>
                              <w:rPr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Cs/>
                                <w:color w:val="808080" w:themeColor="background1" w:themeShade="80"/>
                              </w:rPr>
                              <w:t>„</w:t>
                            </w:r>
                            <w:r>
                              <w:rPr>
                                <w:bCs/>
                                <w:iCs/>
                                <w:color w:val="808080" w:themeColor="background1" w:themeShade="80"/>
                              </w:rPr>
                              <w:t>Od „ruralnih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stanovnika”</w:t>
                            </w:r>
                            <w:r>
                              <w:rPr>
                                <w:bCs/>
                                <w:iCs/>
                                <w:color w:val="808080" w:themeColor="background1" w:themeShade="80"/>
                              </w:rPr>
                              <w:t xml:space="preserve"> do ruralnih zajednica</w:t>
                            </w:r>
                            <w:r>
                              <w:rPr>
                                <w:bCs/>
                                <w:color w:val="808080" w:themeColor="background1" w:themeShade="80"/>
                              </w:rPr>
                              <w:t xml:space="preserve">. 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bCs/>
                                <w:iCs/>
                                <w:color w:val="808080" w:themeColor="background1" w:themeShade="80"/>
                              </w:rPr>
                              <w:t>Svi su pozvani, svi su uključeni.”</w:t>
                            </w:r>
                          </w:p>
                          <w:p w:rsidR="00E25DD0" w:rsidRDefault="00216589">
                            <w:pPr>
                              <w:spacing w:before="120"/>
                              <w:jc w:val="left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(aktivnosti savjetovanja o dugoročnoj viziji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)</w:t>
                            </w:r>
                          </w:p>
                          <w:p w:rsidR="00E25DD0" w:rsidRDefault="00216589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(aktivnosti savjetovanja o dugoročnoj viziji)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5.3pt;margin-top:7.5pt;width:305.8pt;height:120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" stroked="f">
                <v:textbox>
                  <w:txbxContent>
                    <w:p>
                      <w:pPr>
                        <w:spacing w:before="120"/>
                        <w:jc w:val="left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„Inovacije u ruralnim područjima ne predvode velika poduzeća.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color w:val="808080" w:themeColor="background1" w:themeShade="80"/>
                        </w:rPr>
                        <w:t>Predvodi ih zajednica.”</w:t>
                      </w:r>
                    </w:p>
                    <w:p>
                      <w:pPr>
                        <w:spacing w:before="120"/>
                        <w:jc w:val="left"/>
                        <w:rPr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bCs/>
                          <w:color w:val="808080" w:themeColor="background1" w:themeShade="80"/>
                        </w:rPr>
                        <w:t>„</w:t>
                      </w:r>
                      <w:r>
                        <w:rPr>
                          <w:bCs/>
                          <w:iCs/>
                          <w:color w:val="808080" w:themeColor="background1" w:themeShade="80"/>
                        </w:rPr>
                        <w:t>Od „ruralnih</w:t>
                      </w:r>
                      <w:r>
                        <w:rPr>
                          <w:color w:val="808080" w:themeColor="background1" w:themeShade="80"/>
                        </w:rPr>
                        <w:t xml:space="preserve"> stanovnika”</w:t>
                      </w:r>
                      <w:r>
                        <w:rPr>
                          <w:bCs/>
                          <w:iCs/>
                          <w:color w:val="808080" w:themeColor="background1" w:themeShade="80"/>
                        </w:rPr>
                        <w:t xml:space="preserve"> do ruralnih zajednica</w:t>
                      </w:r>
                      <w:r>
                        <w:rPr>
                          <w:bCs/>
                          <w:color w:val="808080" w:themeColor="background1" w:themeShade="80"/>
                        </w:rPr>
                        <w:t xml:space="preserve">. 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bCs/>
                          <w:iCs/>
                          <w:color w:val="808080" w:themeColor="background1" w:themeShade="80"/>
                        </w:rPr>
                        <w:t>Svi su pozvani, svi su uključeni.”</w:t>
                      </w:r>
                    </w:p>
                    <w:p>
                      <w:pPr>
                        <w:spacing w:before="120"/>
                        <w:jc w:val="left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(aktivnosti savjetovanja o dugoročnoj viziji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>)</w:t>
                      </w:r>
                    </w:p>
                    <w:p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(aktivnosti savjetovanja o dugoročnoj viziji)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DD0" w:rsidRDefault="00216589">
      <w:pPr>
        <w:pStyle w:val="Text2"/>
        <w:ind w:left="0"/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1310640" cy="1000125"/>
            <wp:effectExtent l="0" t="0" r="381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DD0" w:rsidRDefault="00E25DD0">
      <w:pPr>
        <w:rPr>
          <w:noProof/>
        </w:rPr>
      </w:pPr>
    </w:p>
    <w:p w:rsidR="00E25DD0" w:rsidRDefault="00216589">
      <w:pPr>
        <w:rPr>
          <w:noProof/>
        </w:rPr>
      </w:pPr>
      <w:r>
        <w:rPr>
          <w:noProof/>
        </w:rPr>
        <w:t>Ruralna područja trebala bi biti mjesta za život osnaženih</w:t>
      </w:r>
      <w:r>
        <w:rPr>
          <w:b/>
          <w:i/>
          <w:iCs/>
          <w:noProof/>
        </w:rPr>
        <w:t xml:space="preserve"> </w:t>
      </w:r>
      <w:r>
        <w:rPr>
          <w:noProof/>
        </w:rPr>
        <w:t xml:space="preserve">i </w:t>
      </w:r>
      <w:r>
        <w:rPr>
          <w:b/>
          <w:iCs/>
          <w:noProof/>
        </w:rPr>
        <w:t>dinamičnih lokalnih zajednica</w:t>
      </w:r>
      <w:r>
        <w:rPr>
          <w:noProof/>
        </w:rPr>
        <w:t>. Omogući</w:t>
      </w:r>
      <w:r>
        <w:rPr>
          <w:noProof/>
        </w:rPr>
        <w:t xml:space="preserve">vanje aktivnog sudjelovanja svih pojedinaca u oblikovanju politika i odlučivanju te uključivanje širokog raspona dionika i mreža i svih razina upravljanja ključno je za razvoj prilagođenih, lokaliziranih i integriranih političkih rješenja i ulaganja. Nove </w:t>
      </w:r>
      <w:r>
        <w:rPr>
          <w:noProof/>
        </w:rPr>
        <w:t>mogućnosti za aktivno sudjelovanje građana, kao što su savjetovanja s ruralnim izbornim jedinicama ili internetsko glasovanje, mogu povećati privlačnost ruralnih područja, osobito onih udaljenih i onih s visokom stopom depopulacije, uključivanjem ljudi u d</w:t>
      </w:r>
      <w:r>
        <w:rPr>
          <w:noProof/>
        </w:rPr>
        <w:t xml:space="preserve">onošenje odluka o vlastitoj budućnosti i najboljim načinima iskorištavanja kulturnih i gospodarskih prednosti njihova područja. </w:t>
      </w:r>
    </w:p>
    <w:p w:rsidR="00E25DD0" w:rsidRDefault="00216589">
      <w:pPr>
        <w:rPr>
          <w:noProof/>
        </w:rPr>
      </w:pPr>
      <w:r>
        <w:rPr>
          <w:noProof/>
        </w:rPr>
        <w:t>Iako se situacije razlikuju ovisno o državi članici, stanovništvo ruralnih područja EU-a uglavnom se smanjuje i sve je starije,</w:t>
      </w:r>
      <w:r>
        <w:rPr>
          <w:noProof/>
        </w:rPr>
        <w:t xml:space="preserve"> što može opteretiti pružanje javnih i privatnih usluga. Iznimno je važno osigurati da ruralna područja budu privlačna mjesta za život i rad. S tim u vezi, potrebno je zajamčiti djelotvoran pristup za sve osnovnim uslugama dostatne kvalitete kao što su vod</w:t>
      </w:r>
      <w:r>
        <w:rPr>
          <w:noProof/>
        </w:rPr>
        <w:t xml:space="preserve">a, kanalizacija, zdravstvena zaštita, energija, prijevoz, </w:t>
      </w:r>
      <w:r>
        <w:rPr>
          <w:noProof/>
        </w:rPr>
        <w:lastRenderedPageBreak/>
        <w:t>financijske usluge i digitalna komunikacija</w:t>
      </w:r>
      <w:r>
        <w:rPr>
          <w:rStyle w:val="Referencafusnote"/>
          <w:noProof/>
        </w:rPr>
        <w:footnoteReference w:id="32"/>
      </w:r>
      <w:r>
        <w:rPr>
          <w:noProof/>
        </w:rPr>
        <w:t>. Trebalo bi razviti i inovativna rješenja za pružanje usluga kojima bi se najbolje iskoristile mogućnosti koje nude digitalni alati i snažno poticale soc</w:t>
      </w:r>
      <w:r>
        <w:rPr>
          <w:noProof/>
        </w:rPr>
        <w:t>ijalne inovacije.</w:t>
      </w:r>
    </w:p>
    <w:p w:rsidR="00E25DD0" w:rsidRDefault="00216589">
      <w:pPr>
        <w:pStyle w:val="Naslov2"/>
        <w:numPr>
          <w:ilvl w:val="1"/>
          <w:numId w:val="10"/>
        </w:numPr>
        <w:rPr>
          <w:noProof/>
          <w:color w:val="70C7F1"/>
          <w:sz w:val="28"/>
          <w:szCs w:val="28"/>
        </w:rPr>
      </w:pPr>
      <w:r>
        <w:rPr>
          <w:noProof/>
          <w:color w:val="70C7F1"/>
          <w:sz w:val="28"/>
          <w:szCs w:val="28"/>
        </w:rPr>
        <w:t xml:space="preserve"> Povezana ruralna područja</w:t>
      </w:r>
    </w:p>
    <w:p w:rsidR="00E25DD0" w:rsidRDefault="00216589">
      <w:pPr>
        <w:pStyle w:val="Text2"/>
        <w:rPr>
          <w:noProof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89812</wp:posOffset>
                </wp:positionV>
                <wp:extent cx="4058920" cy="155829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92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DD0" w:rsidRDefault="00216589">
                            <w:pPr>
                              <w:spacing w:before="120"/>
                              <w:jc w:val="left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„Brojni dijelovi ruralnih područja i dalje nemaju cestovnu, prometnu, kanalizacijsku ni vodoopskrbnu infrastrukturu.”</w:t>
                            </w:r>
                          </w:p>
                          <w:p w:rsidR="00E25DD0" w:rsidRDefault="00216589">
                            <w:pPr>
                              <w:spacing w:before="120"/>
                              <w:jc w:val="left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„Širokopojasni pristup mora biti osnovna usluga.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On je sredstvo za postizanje cilja, a ne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cilj sam po sebi.”</w:t>
                            </w:r>
                          </w:p>
                          <w:p w:rsidR="00E25DD0" w:rsidRDefault="0021658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(aktivnosti savjetovanja o dugoročnoj viziji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)</w:t>
                            </w:r>
                          </w:p>
                          <w:p w:rsidR="00E25DD0" w:rsidRDefault="00E25DD0">
                            <w:pPr>
                              <w:spacing w:before="120"/>
                              <w:jc w:val="left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E25DD0" w:rsidRDefault="0021658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aktivnosti savjetovanja o dugoročnoj viziji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1.6pt;margin-top:7.05pt;width:319.6pt;height:122.7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" stroked="f">
                <v:textbox>
                  <w:txbxContent>
                    <w:p>
                      <w:pPr>
                        <w:spacing w:before="120"/>
                        <w:jc w:val="left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„Brojni dijelovi ruralnih područja i dalje nemaju cestovnu, prometnu, kanalizacijsku ni vodoopskrbnu infrastrukturu.”</w:t>
                      </w:r>
                    </w:p>
                    <w:p>
                      <w:pPr>
                        <w:spacing w:before="120"/>
                        <w:jc w:val="left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„Širokopojasni pristup mora biti osnovna usluga.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>On je sredstvo za postizanje cilja, a ne cilj sam po sebi.”</w:t>
                      </w:r>
                    </w:p>
                    <w:p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(aktivnosti savjetovanja o dugoročnoj viziji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>)</w:t>
                      </w:r>
                    </w:p>
                    <w:p>
                      <w:pPr>
                        <w:spacing w:before="120"/>
                        <w:jc w:val="left"/>
                        <w:rPr>
                          <w:i/>
                          <w:color w:val="808080" w:themeColor="background1" w:themeShade="80"/>
                        </w:rPr>
                      </w:pPr>
                    </w:p>
                    <w:p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</w:rPr>
                        <w:t>(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aktivnosti savjetovanja o dugoročnoj viziji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5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61430</wp:posOffset>
            </wp:positionV>
            <wp:extent cx="1307522" cy="996343"/>
            <wp:effectExtent l="0" t="0" r="63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22" cy="996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DD0" w:rsidRDefault="00E25DD0">
      <w:pPr>
        <w:rPr>
          <w:noProof/>
        </w:rPr>
      </w:pPr>
    </w:p>
    <w:p w:rsidR="00E25DD0" w:rsidRDefault="00E25DD0">
      <w:pPr>
        <w:rPr>
          <w:noProof/>
        </w:rPr>
      </w:pPr>
    </w:p>
    <w:p w:rsidR="00E25DD0" w:rsidRDefault="00E25DD0">
      <w:pPr>
        <w:rPr>
          <w:noProof/>
        </w:rPr>
      </w:pPr>
    </w:p>
    <w:p w:rsidR="00E25DD0" w:rsidRDefault="00E25DD0">
      <w:pPr>
        <w:rPr>
          <w:noProof/>
        </w:rPr>
      </w:pPr>
    </w:p>
    <w:p w:rsidR="00E25DD0" w:rsidRDefault="00E25DD0">
      <w:pPr>
        <w:rPr>
          <w:noProof/>
        </w:rPr>
      </w:pPr>
    </w:p>
    <w:p w:rsidR="00E25DD0" w:rsidRDefault="00216589">
      <w:pPr>
        <w:rPr>
          <w:noProof/>
        </w:rPr>
      </w:pPr>
      <w:r>
        <w:rPr>
          <w:noProof/>
        </w:rPr>
        <w:t xml:space="preserve">Daljnji razvoj ruralnih područja ovisi o tome jesu li </w:t>
      </w:r>
      <w:r>
        <w:rPr>
          <w:b/>
          <w:noProof/>
        </w:rPr>
        <w:t>dobro povezana</w:t>
      </w:r>
      <w:r>
        <w:rPr>
          <w:noProof/>
        </w:rPr>
        <w:t xml:space="preserve"> međusobno te s prigradskim i gradskim područjima. Ta povezanost im istodobno olakšava i poboljšava pristup širem rasponu usluga za lokalne zajednice.</w:t>
      </w:r>
    </w:p>
    <w:p w:rsidR="00E25DD0" w:rsidRDefault="00216589">
      <w:pPr>
        <w:rPr>
          <w:noProof/>
        </w:rPr>
      </w:pPr>
      <w:r>
        <w:rPr>
          <w:noProof/>
        </w:rPr>
        <w:t>Kad je riječ o prometu, to podrazumijeva održavanje ili poboljšanje</w:t>
      </w:r>
      <w:r>
        <w:rPr>
          <w:rStyle w:val="Referencafusnote"/>
          <w:noProof/>
        </w:rPr>
        <w:footnoteReference w:id="33"/>
      </w:r>
      <w:r>
        <w:rPr>
          <w:noProof/>
        </w:rPr>
        <w:t xml:space="preserve"> cjenovno pristupačnih usluga javnog </w:t>
      </w:r>
      <w:r>
        <w:rPr>
          <w:noProof/>
        </w:rPr>
        <w:t>prijevoza i infrastrukture kao što su željeznice, unutarnji plovni putovi i ceste, postaje za punjenje i opskrbu koje podržavaju rješenja za e-mobilnost, biciklističke staze, multimodalne veze uključujući aktivna prijevozna sredstva te pomorski promet na k</w:t>
      </w:r>
      <w:r>
        <w:rPr>
          <w:noProof/>
        </w:rPr>
        <w:t>raćim relacijama i zračni prijevoz, koji su često jedini način povezivanja otoka i određenih rubnih regija. Trebalo bi dodatno istražiti i potencijal ruralnih područja da djeluju kao centri za razvoj, testiranje i uvođenje održivih i inovativnih rješenja z</w:t>
      </w:r>
      <w:r>
        <w:rPr>
          <w:noProof/>
        </w:rPr>
        <w:t xml:space="preserve">a mobilnost. </w:t>
      </w:r>
    </w:p>
    <w:p w:rsidR="00E25DD0" w:rsidRDefault="00216589">
      <w:pPr>
        <w:rPr>
          <w:noProof/>
        </w:rPr>
      </w:pPr>
      <w:r>
        <w:rPr>
          <w:noProof/>
        </w:rPr>
        <w:t xml:space="preserve">Digitalna infrastruktura ključni je čimbenik koji ruralnim područjima omogućuje da pridonesu </w:t>
      </w:r>
      <w:r>
        <w:rPr>
          <w:b/>
          <w:noProof/>
        </w:rPr>
        <w:t xml:space="preserve">digitalnoj tranziciji </w:t>
      </w:r>
      <w:r>
        <w:rPr>
          <w:noProof/>
        </w:rPr>
        <w:t>i iskoriste je na najbolji mogući način</w:t>
      </w:r>
      <w:r>
        <w:rPr>
          <w:rStyle w:val="Referencafusnote"/>
          <w:b/>
          <w:noProof/>
        </w:rPr>
        <w:footnoteReference w:id="34"/>
      </w:r>
      <w:r>
        <w:rPr>
          <w:noProof/>
        </w:rPr>
        <w:t>. Razvoj digitalnih kapaciteta u ruralnim područjima povećat će njihovu privlačnost. Di</w:t>
      </w:r>
      <w:r>
        <w:rPr>
          <w:noProof/>
        </w:rPr>
        <w:t>gitalne tehnologije nudit će usluge kao što su multimodalni inteligentni prometni sustavi, brza hitna pomoć u slučaju nesreća, usmjerenija rješenja za gospodarenje otpadom, pametna rješenja za energiju i rasvjetu, optimizacija resursa i drugo.</w:t>
      </w:r>
    </w:p>
    <w:p w:rsidR="00E25DD0" w:rsidRDefault="00216589">
      <w:pPr>
        <w:rPr>
          <w:noProof/>
        </w:rPr>
      </w:pPr>
      <w:r>
        <w:rPr>
          <w:noProof/>
        </w:rPr>
        <w:br w:type="page"/>
      </w:r>
    </w:p>
    <w:p w:rsidR="00E25DD0" w:rsidRDefault="00216589">
      <w:pPr>
        <w:pStyle w:val="Naslov2"/>
        <w:numPr>
          <w:ilvl w:val="1"/>
          <w:numId w:val="10"/>
        </w:numPr>
        <w:rPr>
          <w:noProof/>
          <w:color w:val="6AB974"/>
          <w:sz w:val="28"/>
          <w:szCs w:val="28"/>
        </w:rPr>
      </w:pPr>
      <w:r>
        <w:rPr>
          <w:noProof/>
          <w:color w:val="6AB974"/>
          <w:sz w:val="28"/>
          <w:szCs w:val="28"/>
        </w:rPr>
        <w:lastRenderedPageBreak/>
        <w:t xml:space="preserve"> Otporna r</w:t>
      </w:r>
      <w:r>
        <w:rPr>
          <w:noProof/>
          <w:color w:val="6AB974"/>
          <w:sz w:val="28"/>
          <w:szCs w:val="28"/>
        </w:rPr>
        <w:t>uralna područja koja potiču dobrobit</w:t>
      </w:r>
    </w:p>
    <w:p w:rsidR="00E25DD0" w:rsidRDefault="00216589">
      <w:pPr>
        <w:rPr>
          <w:noProof/>
        </w:rPr>
      </w:pPr>
      <w:r>
        <w:rPr>
          <w:noProof/>
          <w:color w:val="6AB974"/>
          <w:sz w:val="28"/>
          <w:szCs w:val="28"/>
          <w:lang w:eastAsia="hr-HR"/>
        </w:rPr>
        <w:drawing>
          <wp:anchor distT="0" distB="0" distL="114300" distR="114300" simplePos="0" relativeHeight="251658252" behindDoc="0" locked="0" layoutInCell="1" allowOverlap="1">
            <wp:simplePos x="0" y="0"/>
            <wp:positionH relativeFrom="column">
              <wp:posOffset>2189</wp:posOffset>
            </wp:positionH>
            <wp:positionV relativeFrom="paragraph">
              <wp:posOffset>10113</wp:posOffset>
            </wp:positionV>
            <wp:extent cx="1277228" cy="852985"/>
            <wp:effectExtent l="0" t="0" r="0" b="444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167" cy="853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48260</wp:posOffset>
                </wp:positionV>
                <wp:extent cx="4098290" cy="874395"/>
                <wp:effectExtent l="0" t="0" r="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DD0" w:rsidRDefault="00216589">
                            <w:pPr>
                              <w:spacing w:before="120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„Vizija mora promicati održivu otpornost i uključivi razvoj te poboljšati dobrobit stanovnika.”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E25DD0" w:rsidRDefault="00216589">
                            <w:p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aktivnosti savjetovanja o dugoročnoj viziji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8.45pt;margin-top:3.8pt;width:322.7pt;height:68.8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zVIgIAACI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" stroked="f">
                <v:textbox>
                  <w:txbxContent>
                    <w:p>
                      <w:pPr>
                        <w:spacing w:before="120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„Vizija mora promicati održivu otpornost i uključivi razvoj te poboljšati dobrobit stanovnika.”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</w:rPr>
                        <w:t>(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aktivnosti savjetovanja o dugoročnoj viziji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DD0" w:rsidRDefault="00E25DD0">
      <w:pPr>
        <w:rPr>
          <w:noProof/>
        </w:rPr>
      </w:pPr>
    </w:p>
    <w:p w:rsidR="00E25DD0" w:rsidRDefault="00E25DD0">
      <w:pPr>
        <w:rPr>
          <w:noProof/>
        </w:rPr>
      </w:pPr>
    </w:p>
    <w:p w:rsidR="00E25DD0" w:rsidRDefault="00E25DD0">
      <w:pPr>
        <w:rPr>
          <w:noProof/>
        </w:rPr>
      </w:pPr>
    </w:p>
    <w:p w:rsidR="00E25DD0" w:rsidRDefault="00216589">
      <w:pPr>
        <w:rPr>
          <w:iCs/>
          <w:noProof/>
        </w:rPr>
      </w:pPr>
      <w:r>
        <w:rPr>
          <w:noProof/>
        </w:rPr>
        <w:t xml:space="preserve">Ruralna područja mogu i trebaju imati središnju ulogu u europskom zelenom planu. Očuvanje prirodnih resursa, obnova krajolikâ, uključujući kulturne krajolike, ekologizacija poljoprivrednih aktivnosti i skraćivanje lanaca opskrbe učinit će ruralna područja </w:t>
      </w:r>
      <w:r>
        <w:rPr>
          <w:b/>
          <w:noProof/>
        </w:rPr>
        <w:t>otpornijima na klimatske promjene, prirodne opasnosti i gospodarske krize</w:t>
      </w:r>
      <w:r>
        <w:rPr>
          <w:noProof/>
        </w:rPr>
        <w:t>. Kao pružatelji usluga kojima se štite ekosustavi i rješenja za ugljičnu neutralnost, ruralna područja imaju sve važniju ulogu u ublažavanju klimatskih promjena, održivom biogospodar</w:t>
      </w:r>
      <w:r>
        <w:rPr>
          <w:noProof/>
        </w:rPr>
        <w:t>stvu i kružnom gospodarstvu. Ruralna područja trebala bi se temeljiti na održivoj poljoprivredi, šumarstvu, poljoprivredno-prehrambenim gospodarskim djelatnostima i raznolikom rasponu zelenijih gospodarskih djelatnosti</w:t>
      </w:r>
      <w:r>
        <w:rPr>
          <w:rStyle w:val="Referencafusnote"/>
          <w:iCs/>
          <w:noProof/>
        </w:rPr>
        <w:footnoteReference w:id="35"/>
      </w:r>
      <w:r>
        <w:rPr>
          <w:noProof/>
        </w:rPr>
        <w:t xml:space="preserve"> kojima se promiču sekvestracija uglj</w:t>
      </w:r>
      <w:r>
        <w:rPr>
          <w:noProof/>
        </w:rPr>
        <w:t xml:space="preserve">ika u poljoprivredi i lokalna visokokvalitetna proizvodnja koja se temelji na zajednici. </w:t>
      </w:r>
    </w:p>
    <w:p w:rsidR="00E25DD0" w:rsidRDefault="00216589">
      <w:pPr>
        <w:rPr>
          <w:noProof/>
        </w:rPr>
      </w:pPr>
      <w:r>
        <w:rPr>
          <w:noProof/>
        </w:rPr>
        <w:t>Istodobno bi se trebale moći provoditi različite održive aktivnosti u korist ruralnih područja. Obiteljske poljoprivredne djelatnosti trebale bi se provoditi u skladu</w:t>
      </w:r>
      <w:r>
        <w:rPr>
          <w:noProof/>
        </w:rPr>
        <w:t xml:space="preserve"> s drugim gospodarskim djelatnostima, uz poštovanje i očuvanje odgovarajuće autonomije gospodarskih sektora odgovarajućim planiranjem upotrebe i zoniranjem zemljišta. Isto bi tako u poljoprivrednoj proizvodnji trebalo voditi računa o njezinu utjecaju na vo</w:t>
      </w:r>
      <w:r>
        <w:rPr>
          <w:noProof/>
        </w:rPr>
        <w:t>de i morske ekosustave.</w:t>
      </w:r>
    </w:p>
    <w:p w:rsidR="00E25DD0" w:rsidRDefault="00216589">
      <w:pPr>
        <w:rPr>
          <w:iCs/>
          <w:noProof/>
        </w:rPr>
      </w:pPr>
      <w:r>
        <w:rPr>
          <w:noProof/>
        </w:rPr>
        <w:t xml:space="preserve">Zelena i digitalna tranzicija trebale bi biti pravedne i u okviru njih bi trebalo uzeti u obzir potrebe svih članova ruralnih zajednica, uključujući pripadnike skupina u nepovoljnom položaju, kako bi se ojačala </w:t>
      </w:r>
      <w:r>
        <w:rPr>
          <w:b/>
          <w:iCs/>
          <w:noProof/>
        </w:rPr>
        <w:t>socijalna otpornost</w:t>
      </w:r>
      <w:r>
        <w:rPr>
          <w:noProof/>
        </w:rPr>
        <w:t xml:space="preserve"> r</w:t>
      </w:r>
      <w:r>
        <w:rPr>
          <w:noProof/>
        </w:rPr>
        <w:t>uralnih područja.</w:t>
      </w:r>
    </w:p>
    <w:p w:rsidR="00E25DD0" w:rsidRDefault="00216589">
      <w:pPr>
        <w:rPr>
          <w:noProof/>
        </w:rPr>
      </w:pPr>
      <w:r>
        <w:rPr>
          <w:noProof/>
        </w:rPr>
        <w:t>Kako bi ruralna područja postala socijalno otpornija, potrebno je iskoristiti cijeli raspon talenata i raznolikosti u našim društvima. Svi bi trebali biti jednako zastupljeni u donošenju odluka na nacionalnoj, regionalnoj i lokalnoj razin</w:t>
      </w:r>
      <w:r>
        <w:rPr>
          <w:noProof/>
        </w:rPr>
        <w:t>i, trebali bi imati pristup prekvalifikaciji i usavršavanju, čime bi se stvorila prilika za osiguravanje kvalitetnih radnih mjesta i dobrih mogućnosti zapošljavanja. Potrebno je boriti se protiv rodno uvjetovanog nasilja i rodnih stereotipa. Posebnu pozorn</w:t>
      </w:r>
      <w:r>
        <w:rPr>
          <w:noProof/>
        </w:rPr>
        <w:t>ost trebalo bi posvetiti i mladima i starijim osobama, osobama s invaliditetom, djeci, LGBTIQ+ osobama, osobama migrantskog podrijetla i romskim zajednicama koje ponekad nemaju pristup osnovnim uslugama, kao što su odgovarajuće socijalne i obrazovne usluge</w:t>
      </w:r>
      <w:r>
        <w:rPr>
          <w:noProof/>
        </w:rPr>
        <w:t xml:space="preserve"> i zdravstvena skrb. </w:t>
      </w:r>
    </w:p>
    <w:p w:rsidR="00E25DD0" w:rsidRDefault="00216589">
      <w:pPr>
        <w:rPr>
          <w:noProof/>
        </w:rPr>
      </w:pPr>
      <w:r>
        <w:rPr>
          <w:noProof/>
        </w:rPr>
        <w:br w:type="page"/>
      </w:r>
    </w:p>
    <w:p w:rsidR="00E25DD0" w:rsidRDefault="00216589">
      <w:pPr>
        <w:pStyle w:val="Naslov2"/>
        <w:numPr>
          <w:ilvl w:val="1"/>
          <w:numId w:val="10"/>
        </w:numPr>
        <w:rPr>
          <w:noProof/>
          <w:color w:val="E63335"/>
          <w:sz w:val="28"/>
          <w:szCs w:val="28"/>
        </w:rPr>
      </w:pPr>
      <w:r>
        <w:rPr>
          <w:noProof/>
          <w:color w:val="E63335"/>
          <w:sz w:val="28"/>
          <w:szCs w:val="28"/>
        </w:rPr>
        <w:lastRenderedPageBreak/>
        <w:t xml:space="preserve"> Prosperitetna ruralna područja</w:t>
      </w:r>
    </w:p>
    <w:p w:rsidR="00E25DD0" w:rsidRDefault="00216589">
      <w:pPr>
        <w:spacing w:after="120"/>
        <w:rPr>
          <w:rFonts w:eastAsiaTheme="minorHAnsi"/>
          <w:noProof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93980</wp:posOffset>
                </wp:positionV>
                <wp:extent cx="4046855" cy="159004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85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DD0" w:rsidRDefault="00216589">
                            <w:pPr>
                              <w:spacing w:before="120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„Daljnje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predano</w:t>
                            </w: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podupiranje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diversifikacije aktivnosti i funkcija ruralnih područja uz iskorištavanje lokalnih prednosti, znanja i mogućnosti te pružanje veće potpore malim projektima i mikroproje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ktima, posebno projektima mladih i nezaposlenih, čime bi se izbjegao njihov odlazak u gradove.”</w:t>
                            </w:r>
                          </w:p>
                          <w:p w:rsidR="00E25DD0" w:rsidRDefault="0021658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aktivnosti savjetovanja o dugoročnoj viziji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2.2pt;margin-top:7.4pt;width:318.65pt;height:125.2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" stroked="f">
                <v:textbox>
                  <w:txbxContent>
                    <w:p>
                      <w:pPr>
                        <w:spacing w:before="120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„Daljnje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>predano</w:t>
                      </w:r>
                      <w:r>
                        <w:rPr>
                          <w:rFonts w:ascii="Arial" w:hAnsi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>podupiranje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>diversifikacije aktivnosti i funkcija ruralnih područja uz iskorištavanje lokalnih prednosti, znanja i mogućnosti te pružanje veće potpore malim projektima i mikroprojektima, posebno projektima mladih i nezaposlenih, čime bi se izbjegao njihov odlazak u gradove.”</w:t>
                      </w:r>
                    </w:p>
                    <w:p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</w:rPr>
                        <w:t>(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aktivnosti savjetovanja o dugoročnoj viziji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DD0" w:rsidRDefault="00216589">
      <w:pPr>
        <w:spacing w:after="120"/>
        <w:rPr>
          <w:rFonts w:eastAsiaTheme="minorHAnsi"/>
          <w:noProof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298575" cy="9937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DD0" w:rsidRDefault="00E25DD0">
      <w:pPr>
        <w:spacing w:after="120"/>
        <w:rPr>
          <w:rFonts w:eastAsiaTheme="minorHAnsi"/>
          <w:noProof/>
          <w:szCs w:val="24"/>
        </w:rPr>
      </w:pPr>
    </w:p>
    <w:p w:rsidR="00E25DD0" w:rsidRDefault="00E25DD0">
      <w:pPr>
        <w:spacing w:after="120"/>
        <w:rPr>
          <w:rFonts w:eastAsiaTheme="minorHAnsi"/>
          <w:noProof/>
          <w:szCs w:val="24"/>
        </w:rPr>
      </w:pPr>
    </w:p>
    <w:p w:rsidR="00E25DD0" w:rsidRDefault="00216589">
      <w:pPr>
        <w:spacing w:after="120"/>
        <w:rPr>
          <w:rFonts w:eastAsiaTheme="minorHAnsi"/>
          <w:noProof/>
          <w:szCs w:val="24"/>
        </w:rPr>
      </w:pPr>
      <w:r>
        <w:rPr>
          <w:noProof/>
        </w:rPr>
        <w:t xml:space="preserve">Ruralna područja mogu postati </w:t>
      </w:r>
      <w:r>
        <w:rPr>
          <w:b/>
          <w:noProof/>
          <w:szCs w:val="24"/>
        </w:rPr>
        <w:t xml:space="preserve">prosperitetnija </w:t>
      </w:r>
      <w:r>
        <w:rPr>
          <w:noProof/>
        </w:rPr>
        <w:t xml:space="preserve">diversifikacijom gospodarskih djelatnosti na nove sektore, što </w:t>
      </w:r>
      <w:r>
        <w:rPr>
          <w:noProof/>
        </w:rPr>
        <w:t>će pozitivno utjecati na zapošljavanje</w:t>
      </w:r>
      <w:r>
        <w:rPr>
          <w:rStyle w:val="Referencafusnote"/>
          <w:rFonts w:eastAsiaTheme="minorHAnsi"/>
          <w:noProof/>
          <w:szCs w:val="24"/>
        </w:rPr>
        <w:footnoteReference w:id="36"/>
      </w:r>
      <w:r>
        <w:rPr>
          <w:noProof/>
        </w:rPr>
        <w:t xml:space="preserve">, te poboljšanjem dodane vrijednosti poljoprivrednih i poljoprivredno-prehrambenih djelatnosti. </w:t>
      </w:r>
    </w:p>
    <w:p w:rsidR="00E25DD0" w:rsidRDefault="00216589">
      <w:pPr>
        <w:spacing w:after="120"/>
        <w:rPr>
          <w:noProof/>
          <w:szCs w:val="24"/>
        </w:rPr>
      </w:pPr>
      <w:r>
        <w:rPr>
          <w:noProof/>
        </w:rPr>
        <w:t xml:space="preserve">Diversifikacija gospodarskih djelatnosti trebala bi se temeljiti na održivim lokalnim gospodarskim strategijama, uključujući mjere zbog kojih bi poduzećima njihov okoliš postao privlačnim. Za gospodarsku diversifikaciju potrebno je i zajednicama omogućiti </w:t>
      </w:r>
      <w:r>
        <w:rPr>
          <w:noProof/>
        </w:rPr>
        <w:t xml:space="preserve">pristup digitalnom i hibridnom obrazovanju i osposobljavanju radi stjecanja novih vještina i podupiranja poduzetničkog načina razmišljanja. Poboljšano umrežavanje manjih poduzeća može biti alternativa konsolidaciji, kojom se moć i dobit često odvode izvan </w:t>
      </w:r>
      <w:r>
        <w:rPr>
          <w:noProof/>
        </w:rPr>
        <w:t xml:space="preserve">ruralnih područja. </w:t>
      </w:r>
    </w:p>
    <w:p w:rsidR="00E25DD0" w:rsidRDefault="00216589">
      <w:pPr>
        <w:rPr>
          <w:noProof/>
        </w:rPr>
      </w:pPr>
      <w:r>
        <w:rPr>
          <w:noProof/>
        </w:rPr>
        <w:t xml:space="preserve">Trebalo bi očuvati važnu gospodarsku ulogu poljoprivrede, šumarstva i ribarstva. Razvoj kratkih lanaca opskrbe te primjena sustava označivanja kojima se potvrđuje kvaliteta i raznolikost lokalnih i tradicionalnih prehrambenih proizvoda </w:t>
      </w:r>
      <w:r>
        <w:rPr>
          <w:noProof/>
        </w:rPr>
        <w:t xml:space="preserve">pozitivno će utjecati na lokalna gospodarstva. Organizacije proizvođača mogu pridonijeti promicanju proizvoda i regija aktivnostima kao što su oglašivačke kampanje. To pomaže i u zadovoljavanju sve veće potražnje za lokalnim proizvodima koji su povezani s </w:t>
      </w:r>
      <w:r>
        <w:rPr>
          <w:noProof/>
        </w:rPr>
        <w:t xml:space="preserve">ruralnim područjima iz kojih potječu te pridonosi očuvanju samodostatnosti i održivosti europske proizvodnje hrane. </w:t>
      </w:r>
    </w:p>
    <w:p w:rsidR="00E25DD0" w:rsidRDefault="00216589">
      <w:pPr>
        <w:rPr>
          <w:noProof/>
        </w:rPr>
      </w:pPr>
      <w:r>
        <w:rPr>
          <w:noProof/>
        </w:rPr>
        <w:br w:type="page"/>
      </w:r>
    </w:p>
    <w:p w:rsidR="00E25DD0" w:rsidRDefault="00216589">
      <w:pPr>
        <w:pStyle w:val="Naslov1"/>
        <w:numPr>
          <w:ilvl w:val="0"/>
          <w:numId w:val="10"/>
        </w:numPr>
        <w:rPr>
          <w:noProof/>
        </w:rPr>
      </w:pPr>
      <w:r>
        <w:rPr>
          <w:noProof/>
        </w:rPr>
        <w:lastRenderedPageBreak/>
        <w:t xml:space="preserve">Pakt i akcijski plan EU-a za ruralna područja </w:t>
      </w:r>
    </w:p>
    <w:p w:rsidR="00E25DD0" w:rsidRDefault="00E25DD0">
      <w:pPr>
        <w:pStyle w:val="Text1"/>
        <w:spacing w:after="0"/>
        <w:ind w:left="0"/>
        <w:jc w:val="center"/>
        <w:rPr>
          <w:noProof/>
        </w:rPr>
      </w:pPr>
    </w:p>
    <w:p w:rsidR="00E25DD0" w:rsidRDefault="00216589">
      <w:pPr>
        <w:pStyle w:val="Text1"/>
        <w:spacing w:after="0"/>
        <w:ind w:left="0"/>
        <w:jc w:val="center"/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4776111" cy="3562040"/>
            <wp:effectExtent l="0" t="0" r="0" b="0"/>
            <wp:docPr id="1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111" cy="356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DD0" w:rsidRDefault="00216589">
      <w:pPr>
        <w:spacing w:after="0"/>
        <w:rPr>
          <w:rFonts w:eastAsia="Verdana"/>
          <w:noProof/>
        </w:rPr>
      </w:pPr>
      <w:r>
        <w:rPr>
          <w:noProof/>
        </w:rPr>
        <w:t>Pakt i akcijski plan EU-a za ruralna područja s konkretnim vodećim projektima i novim a</w:t>
      </w:r>
      <w:r>
        <w:rPr>
          <w:noProof/>
        </w:rPr>
        <w:t xml:space="preserve">latima pomoći će u postizanju ciljeva vizije (vidjeti točku 3.1.). Njima će se potaknuti revitalizacija ruralnih područja, ublažiti učinak negativnih trendova i omogućiti praćenje postignuća do 2040. i izvješćivanje o njima. </w:t>
      </w:r>
    </w:p>
    <w:p w:rsidR="00E25DD0" w:rsidRDefault="00216589">
      <w:pPr>
        <w:spacing w:after="0"/>
        <w:rPr>
          <w:rFonts w:eastAsia="Verdana"/>
          <w:noProof/>
        </w:rPr>
      </w:pPr>
      <w:r>
        <w:rPr>
          <w:noProof/>
        </w:rPr>
        <w:t xml:space="preserve"> </w:t>
      </w:r>
    </w:p>
    <w:p w:rsidR="00E25DD0" w:rsidRDefault="00216589">
      <w:pPr>
        <w:pStyle w:val="Naslov2"/>
        <w:numPr>
          <w:ilvl w:val="1"/>
          <w:numId w:val="10"/>
        </w:numPr>
        <w:rPr>
          <w:noProof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565150</wp:posOffset>
                </wp:positionV>
                <wp:extent cx="5449570" cy="10331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DD0" w:rsidRDefault="00216589">
                            <w:pPr>
                              <w:spacing w:before="120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„Osiguravanjem usklađenos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ti i komplementarnosti međunarodnih, nacionalnih i lokalnih politika koje utječu na ruralni razvoj maksimalno će se povećati pozitivni učinci našeg zajedničkog rada.”</w:t>
                            </w:r>
                          </w:p>
                          <w:p w:rsidR="00E25DD0" w:rsidRDefault="0021658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(aktivnosti savjetovanja o dugoročnoj viziji)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.75pt;margin-top:44.5pt;width:429.1pt;height:81.3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" stroked="f">
                <v:textbox>
                  <w:txbxContent>
                    <w:p>
                      <w:pPr>
                        <w:spacing w:before="120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„Osiguravanjem usklađenosti i komplementarnosti međunarodnih, nacionalnih i lokalnih politika koje utječu na ruralni razvoj maksimalno će se povećati pozitivni učinci našeg zajedničkog rada.”</w:t>
                      </w:r>
                    </w:p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(aktivnosti savjetovanja o dugoročnoj viziji)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Pakt za ruralna područja – poboljšano uprav</w:t>
      </w:r>
      <w:r>
        <w:rPr>
          <w:noProof/>
        </w:rPr>
        <w:t>ljanje za ruralna područja EU-a</w:t>
      </w:r>
    </w:p>
    <w:p w:rsidR="00E25DD0" w:rsidRDefault="00216589">
      <w:pPr>
        <w:rPr>
          <w:noProof/>
        </w:rPr>
      </w:pPr>
      <w:r>
        <w:rPr>
          <w:noProof/>
        </w:rPr>
        <w:t xml:space="preserve">Izradit će se pakt za ruralna područja, u okviru kojeg će sve razine upravljanja i dionici poduprijeti zajedničke ciljeve vizije koji su predloženi u ovoj Komunikaciji (vidjeti u nastavku). Paktom će se osigurati zajednički </w:t>
      </w:r>
      <w:r>
        <w:rPr>
          <w:noProof/>
        </w:rPr>
        <w:t xml:space="preserve">okvir za angažman i suradnju širokog raspona dionika na razini EU-a te na </w:t>
      </w:r>
      <w:r>
        <w:rPr>
          <w:b/>
          <w:noProof/>
        </w:rPr>
        <w:t>nacionalnoj, regionalnoj i lokalnoj razini</w:t>
      </w:r>
      <w:r>
        <w:rPr>
          <w:noProof/>
        </w:rPr>
        <w:t>.</w:t>
      </w:r>
      <w:r>
        <w:rPr>
          <w:b/>
          <w:noProof/>
        </w:rPr>
        <w:t xml:space="preserve"> </w:t>
      </w:r>
      <w:r>
        <w:rPr>
          <w:noProof/>
        </w:rPr>
        <w:t>Pridonijet će većim sinergijama, komplementarnosti i usklađenosti politika i intervencija EU-a te nacionalnih, regionalnih i teritorijalni</w:t>
      </w:r>
      <w:r>
        <w:rPr>
          <w:noProof/>
        </w:rPr>
        <w:t xml:space="preserve">h politika i intervencija kako bi se postigli ciljevi ove dugoročne vizije i odgovorilo na zajedničke težnje ruralnih zajednica. Putem postojećih mreža koje će se mobilizirati radi uključivanja ruralnih dionika poticat će se interakcija među svim razinama </w:t>
      </w:r>
      <w:r>
        <w:rPr>
          <w:noProof/>
        </w:rPr>
        <w:t xml:space="preserve">upravljanja i dionicima u ruralnom razvoju. </w:t>
      </w:r>
    </w:p>
    <w:p w:rsidR="00E25DD0" w:rsidRDefault="00216589">
      <w:pPr>
        <w:rPr>
          <w:noProof/>
        </w:rPr>
      </w:pPr>
      <w:r>
        <w:rPr>
          <w:noProof/>
        </w:rPr>
        <w:t>Komisija će djelovati kao posrednik kako bi Pakt bio uspješan okvir. Nacionalna tijela i dionici moći će razmjenjivati ideje o načinima postizanja zajedničkih ciljeva vizije. Razmjenom iskustava i najbolje praks</w:t>
      </w:r>
      <w:r>
        <w:rPr>
          <w:noProof/>
        </w:rPr>
        <w:t xml:space="preserve">e u osmišljavanju strategija, akcijskih planova i konkretnih poduzetih mjera pomoći će se osigurati da do 2040. sva ruralna područja budu </w:t>
      </w:r>
      <w:r>
        <w:rPr>
          <w:noProof/>
        </w:rPr>
        <w:lastRenderedPageBreak/>
        <w:t>jača, povezana, otporna i prosperitetna. Države članice, regionalne i lokalne vlasti koje još nisu osmislile strategij</w:t>
      </w:r>
      <w:r>
        <w:rPr>
          <w:noProof/>
        </w:rPr>
        <w:t>u i akcijski plan za rješavanje problema s kojima se suočavaju ruralna područja bit će pozvane da to učine. Poseban naglasak stavit će se na upravljanje strukturnim tranzicijama te višerazinsko i participativno upravljanje kako bi se osmislila i provela rj</w:t>
      </w:r>
      <w:r>
        <w:rPr>
          <w:noProof/>
        </w:rPr>
        <w:t xml:space="preserve">ešenja koja su najprimjerenija za ruralna područja. </w:t>
      </w:r>
    </w:p>
    <w:p w:rsidR="00E25DD0" w:rsidRDefault="00216589">
      <w:pPr>
        <w:pStyle w:val="Text1"/>
        <w:ind w:left="0"/>
        <w:rPr>
          <w:noProof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309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788035</wp:posOffset>
                </wp:positionV>
                <wp:extent cx="5454015" cy="7688580"/>
                <wp:effectExtent l="0" t="0" r="13335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768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DD0" w:rsidRDefault="00E25DD0">
                            <w:pPr>
                              <w:rPr>
                                <w:bCs/>
                              </w:rPr>
                            </w:pPr>
                          </w:p>
                          <w:p w:rsidR="00E25DD0" w:rsidRDefault="00216589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</w:pPr>
                            <w:r>
                              <w:t xml:space="preserve">postala </w:t>
                            </w:r>
                            <w:r>
                              <w:rPr>
                                <w:b/>
                              </w:rPr>
                              <w:t>privlačna</w:t>
                            </w:r>
                            <w:r>
                              <w:t xml:space="preserve"> područja na kojima se odvija </w:t>
                            </w:r>
                            <w:r>
                              <w:rPr>
                                <w:b/>
                              </w:rPr>
                              <w:t>skladni teritorijalni razvoj</w:t>
                            </w:r>
                            <w:r>
                              <w:t xml:space="preserve"> kojim se oslobađa njihov poseban potencijal, pretvara ih se u mjesta puna </w:t>
                            </w:r>
                            <w:r>
                              <w:rPr>
                                <w:b/>
                              </w:rPr>
                              <w:t>mogućnosti</w:t>
                            </w:r>
                            <w:r>
                              <w:t xml:space="preserve"> i pružaju lokalna rješenja za suočavanje s lokalnim učincima globalnih izazova;</w:t>
                            </w:r>
                          </w:p>
                          <w:p w:rsidR="00E25DD0" w:rsidRDefault="00216589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</w:pPr>
                            <w:r>
                              <w:t xml:space="preserve">sudjelovala u višerazinskom i lokaliziranom </w:t>
                            </w:r>
                            <w:r>
                              <w:rPr>
                                <w:b/>
                              </w:rPr>
                              <w:t>upravljanju</w:t>
                            </w:r>
                            <w:r>
                              <w:t xml:space="preserve"> u okviru kojeg se primjenjuju suradnički i participativni pristupi kako bi se razvile integrirane strategije te iskoriš</w:t>
                            </w:r>
                            <w:r>
                              <w:t xml:space="preserve">tavaju prilagođene kombinacije politika i međuovisnosti između gradskih i ruralnih područja; </w:t>
                            </w:r>
                          </w:p>
                          <w:p w:rsidR="00E25DD0" w:rsidRDefault="00216589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</w:pPr>
                            <w:r>
                              <w:t xml:space="preserve">osiguravala </w:t>
                            </w:r>
                            <w:r>
                              <w:rPr>
                                <w:b/>
                              </w:rPr>
                              <w:t>opskrbu hranom</w:t>
                            </w:r>
                            <w:r>
                              <w:t xml:space="preserve"> i gospodarske prilike, nudila</w:t>
                            </w:r>
                            <w:r>
                              <w:rPr>
                                <w:b/>
                              </w:rPr>
                              <w:t xml:space="preserve"> robu i usluge</w:t>
                            </w:r>
                            <w:r>
                              <w:t xml:space="preserve"> za šire društvo, kao što su biomaterijali i bioenergija, ali i lokalne visokokvalitetne pro</w:t>
                            </w:r>
                            <w:r>
                              <w:t xml:space="preserve">izvode koji se temelje na zajednici, te obnovljivu energiju, i pritom zadržala pravedan udio u ostvarenoj vrijednosti; </w:t>
                            </w:r>
                          </w:p>
                          <w:p w:rsidR="00E25DD0" w:rsidRDefault="00216589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</w:pPr>
                            <w:r>
                              <w:t xml:space="preserve">prerasla u </w:t>
                            </w:r>
                            <w:r>
                              <w:rPr>
                                <w:b/>
                              </w:rPr>
                              <w:t>dinamične</w:t>
                            </w:r>
                            <w:r>
                              <w:t xml:space="preserve"> zajednice usredotočene na </w:t>
                            </w:r>
                            <w:r>
                              <w:rPr>
                                <w:b/>
                              </w:rPr>
                              <w:t>dobrobit</w:t>
                            </w:r>
                            <w:r>
                              <w:t xml:space="preserve">, uključujući životne uvjete, pravednost, </w:t>
                            </w:r>
                            <w:r>
                              <w:rPr>
                                <w:b/>
                              </w:rPr>
                              <w:t>blagostanje</w:t>
                            </w:r>
                            <w:r>
                              <w:t xml:space="preserve"> i kvalitetu života, u kojima svi ljudi zajedno žive i dobro surađuju, uz odgovarajuće kapacitete za uzajamnu potporu;</w:t>
                            </w:r>
                          </w:p>
                          <w:p w:rsidR="00E25DD0" w:rsidRDefault="00216589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</w:pPr>
                            <w:r>
                              <w:t xml:space="preserve">prerasla u </w:t>
                            </w:r>
                            <w:r>
                              <w:rPr>
                                <w:b/>
                              </w:rPr>
                              <w:t>uključive</w:t>
                            </w:r>
                            <w:r>
                              <w:t xml:space="preserve"> zajednice </w:t>
                            </w:r>
                            <w:r>
                              <w:rPr>
                                <w:b/>
                              </w:rPr>
                              <w:t>međugeneracijske solidarnosti, pravednosti i obnove</w:t>
                            </w:r>
                            <w:r>
                              <w:t xml:space="preserve">, koje prihvaćaju </w:t>
                            </w:r>
                            <w:r>
                              <w:rPr>
                                <w:b/>
                              </w:rPr>
                              <w:t xml:space="preserve">nove članove </w:t>
                            </w:r>
                            <w:r>
                              <w:t>i potiču jednake mogućno</w:t>
                            </w:r>
                            <w:r>
                              <w:t>sti za sve;</w:t>
                            </w:r>
                          </w:p>
                          <w:p w:rsidR="00E25DD0" w:rsidRDefault="00216589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</w:pPr>
                            <w:r>
                              <w:t xml:space="preserve">rasla i razvijala se kao izvori </w:t>
                            </w:r>
                            <w:r>
                              <w:rPr>
                                <w:b/>
                              </w:rPr>
                              <w:t>prirode</w:t>
                            </w:r>
                            <w:r>
                              <w:t xml:space="preserve"> ojačani ciljevima zelenog plana, kojima ujedno pridonose, uključujući </w:t>
                            </w:r>
                            <w:r>
                              <w:rPr>
                                <w:b/>
                              </w:rPr>
                              <w:t>klimatsku neutralnost</w:t>
                            </w:r>
                            <w:r>
                              <w:t xml:space="preserve"> i održivo upravljanje prirodnim resursima;</w:t>
                            </w:r>
                          </w:p>
                          <w:p w:rsidR="00E25DD0" w:rsidRDefault="00216589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t xml:space="preserve">iskoristila sve koristi </w:t>
                            </w:r>
                            <w:r>
                              <w:rPr>
                                <w:b/>
                              </w:rPr>
                              <w:t>digitalnih inovacija</w:t>
                            </w:r>
                            <w:r>
                              <w:t xml:space="preserve">, uključujući jednak </w:t>
                            </w:r>
                            <w:r>
                              <w:rPr>
                                <w:b/>
                              </w:rPr>
                              <w:t>pris</w:t>
                            </w:r>
                            <w:r>
                              <w:rPr>
                                <w:b/>
                              </w:rPr>
                              <w:t xml:space="preserve">tup </w:t>
                            </w:r>
                            <w:r>
                              <w:t xml:space="preserve">novim tehnologijama, široko rasprostranjenu digitalnu pismenost i prilike za stjecanje naprednijih vještina; </w:t>
                            </w:r>
                          </w:p>
                          <w:p w:rsidR="00E25DD0" w:rsidRDefault="00216589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t xml:space="preserve">postala dom </w:t>
                            </w:r>
                            <w:r>
                              <w:rPr>
                                <w:b/>
                              </w:rPr>
                              <w:t>poduzetnih, inovativnih</w:t>
                            </w:r>
                            <w:r>
                              <w:t xml:space="preserve"> i </w:t>
                            </w:r>
                            <w:r>
                              <w:rPr>
                                <w:b/>
                              </w:rPr>
                              <w:t>stručnih</w:t>
                            </w:r>
                            <w:r>
                              <w:t xml:space="preserve"> osoba koje zajedno pokreću tehnološki, ekološki i društveni napredak;</w:t>
                            </w:r>
                          </w:p>
                          <w:p w:rsidR="00E25DD0" w:rsidRDefault="002165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postala živopisna mjesta </w:t>
                            </w:r>
                            <w:r>
                              <w:t xml:space="preserve">u kojima se </w:t>
                            </w:r>
                            <w:r>
                              <w:rPr>
                                <w:b/>
                              </w:rPr>
                              <w:t>pružaju učinkovite, pristupačne i cjenovno pristupačne javne i privatne usluge, uključujući prekogranične usluge</w:t>
                            </w:r>
                            <w:r>
                              <w:t>, u okviru kojih se nude prilagođena rješenja (kao što su prijevoz, obrazovanje, osposobljavanje, zdravstvo i skrb, uključujući dugo</w:t>
                            </w:r>
                            <w:r>
                              <w:t xml:space="preserve">trajnu skrb, društveni život i maloprodaju); </w:t>
                            </w:r>
                          </w:p>
                          <w:p w:rsidR="00E25DD0" w:rsidRDefault="002165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postala </w:t>
                            </w:r>
                            <w:r>
                              <w:rPr>
                                <w:b/>
                              </w:rPr>
                              <w:t>mjesta puna raznolikosti</w:t>
                            </w:r>
                            <w:r>
                              <w:t xml:space="preserve"> koja maksimalno iskorištavaju svoju jedinstvene prednosti, talente i potencijal.</w:t>
                            </w:r>
                          </w:p>
                          <w:p w:rsidR="00E25DD0" w:rsidRDefault="00216589">
                            <w:pPr>
                              <w:spacing w:before="240" w:after="120"/>
                              <w:contextualSpacing/>
                              <w:rPr>
                                <w:rStyle w:val="normaltextrun"/>
                              </w:rPr>
                            </w:pPr>
                            <w:r>
                              <w:rPr>
                                <w:rStyle w:val="normaltextrun"/>
                              </w:rPr>
                              <w:t>U tim se težnjama, uz raznolikost ruralnih područja kao sredstva uspješne prilagodbe, odražava z</w:t>
                            </w:r>
                            <w:r>
                              <w:rPr>
                                <w:rStyle w:val="normaltextrun"/>
                              </w:rPr>
                              <w:t xml:space="preserve">ajedničko stajalište i moguća dodana vrijednost EU-a, pa se predlaže da one budu </w:t>
                            </w:r>
                            <w:r>
                              <w:rPr>
                                <w:rStyle w:val="normaltextrun"/>
                                <w:b/>
                              </w:rPr>
                              <w:t>zajednički ciljevi</w:t>
                            </w:r>
                            <w:r>
                              <w:rPr>
                                <w:rStyle w:val="normaltextrun"/>
                              </w:rPr>
                              <w:t xml:space="preserve"> koje bi trebalo promicati u okviru </w:t>
                            </w:r>
                            <w:r>
                              <w:rPr>
                                <w:rStyle w:val="normaltextrun"/>
                                <w:b/>
                              </w:rPr>
                              <w:t>dugoročne vizije EU-a za ruralna područja</w:t>
                            </w:r>
                            <w:r>
                              <w:rPr>
                                <w:rStyle w:val="normaltextrun"/>
                              </w:rPr>
                              <w:t xml:space="preserve">. </w:t>
                            </w:r>
                          </w:p>
                          <w:p w:rsidR="00E25DD0" w:rsidRDefault="00E25D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.1pt;margin-top:62.05pt;width:429.45pt;height:605.4pt;z-index:2516603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">
                <v:textbox>
                  <w:txbxContent>
                    <w:p>
                      <w:pPr>
                        <w:rPr>
                          <w:bCs/>
                        </w:rPr>
                      </w:pP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after="120"/>
                      </w:pPr>
                      <w:r>
                        <w:t xml:space="preserve">postala </w:t>
                      </w:r>
                      <w:r>
                        <w:rPr>
                          <w:b/>
                        </w:rPr>
                        <w:t>privlačna</w:t>
                      </w:r>
                      <w:r>
                        <w:t xml:space="preserve"> područja na kojima se odvija </w:t>
                      </w:r>
                      <w:r>
                        <w:rPr>
                          <w:b/>
                        </w:rPr>
                        <w:t>skladni teritorijalni razvoj</w:t>
                      </w:r>
                      <w:r>
                        <w:t xml:space="preserve"> kojim se oslobađa njihov poseban potencijal, pretvara ih se u mjesta puna </w:t>
                      </w:r>
                      <w:r>
                        <w:rPr>
                          <w:b/>
                        </w:rPr>
                        <w:t>mogućnosti</w:t>
                      </w:r>
                      <w:r>
                        <w:t xml:space="preserve"> i pružaju lokalna rješenja za suočavanje s lokalnim učincima globalnih izazova;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after="120"/>
                      </w:pPr>
                      <w:r>
                        <w:t xml:space="preserve">sudjelovala u višerazinskom i lokaliziranom </w:t>
                      </w:r>
                      <w:r>
                        <w:rPr>
                          <w:b/>
                        </w:rPr>
                        <w:t>upravljanju</w:t>
                      </w:r>
                      <w:r>
                        <w:t xml:space="preserve"> u okviru kojeg se primjenjuju suradnički i participativni pristupi kako bi se razvile integrirane strategije te iskorištavaju prilagođene kombinacije politika i međuovisnosti između gradskih i ruralnih područja; 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after="120"/>
                      </w:pPr>
                      <w:r>
                        <w:t xml:space="preserve">osiguravala </w:t>
                      </w:r>
                      <w:r>
                        <w:rPr>
                          <w:b/>
                        </w:rPr>
                        <w:t>opskrbu hranom</w:t>
                      </w:r>
                      <w:r>
                        <w:t xml:space="preserve"> i gospodarske prilike, nudila</w:t>
                      </w:r>
                      <w:r>
                        <w:rPr>
                          <w:b/>
                        </w:rPr>
                        <w:t xml:space="preserve"> robu i usluge</w:t>
                      </w:r>
                      <w:r>
                        <w:t xml:space="preserve"> za šire društvo, kao što su biomaterijali i bioenergija, ali i lokalne visokokvalitetne proizvode koji se temelje na zajednici, te obnovljivu energiju, i pritom zadržala pravedan udio u ostvarenoj vrijednosti; 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after="120"/>
                      </w:pPr>
                      <w:r>
                        <w:t xml:space="preserve">prerasla u </w:t>
                      </w:r>
                      <w:r>
                        <w:rPr>
                          <w:b/>
                        </w:rPr>
                        <w:t>dinamične</w:t>
                      </w:r>
                      <w:r>
                        <w:t xml:space="preserve"> zajednice usredotočene na </w:t>
                      </w:r>
                      <w:r>
                        <w:rPr>
                          <w:b/>
                        </w:rPr>
                        <w:t>dobrobit</w:t>
                      </w:r>
                      <w:r>
                        <w:t xml:space="preserve">, uključujući životne uvjete, pravednost, </w:t>
                      </w:r>
                      <w:r>
                        <w:rPr>
                          <w:b/>
                        </w:rPr>
                        <w:t>blagostanje</w:t>
                      </w:r>
                      <w:r>
                        <w:t xml:space="preserve"> i kvalitetu života, u kojima svi ljudi zajedno žive i dobro surađuju, uz odgovarajuće kapacitete za uzajamnu potporu;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after="120"/>
                      </w:pPr>
                      <w:r>
                        <w:t xml:space="preserve">prerasla u </w:t>
                      </w:r>
                      <w:r>
                        <w:rPr>
                          <w:b/>
                        </w:rPr>
                        <w:t>uključive</w:t>
                      </w:r>
                      <w:r>
                        <w:t xml:space="preserve"> zajednice </w:t>
                      </w:r>
                      <w:r>
                        <w:rPr>
                          <w:b/>
                        </w:rPr>
                        <w:t>međugeneracijske solidarnosti, pravednosti i obnove</w:t>
                      </w:r>
                      <w:r>
                        <w:t xml:space="preserve">, koje prihvaćaju </w:t>
                      </w:r>
                      <w:r>
                        <w:rPr>
                          <w:b/>
                        </w:rPr>
                        <w:t xml:space="preserve">nove članove </w:t>
                      </w:r>
                      <w:r>
                        <w:t>i potiču jednake mogućnosti za sve;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after="120"/>
                      </w:pPr>
                      <w:r>
                        <w:t xml:space="preserve">rasla i razvijala se kao izvori </w:t>
                      </w:r>
                      <w:r>
                        <w:rPr>
                          <w:b/>
                        </w:rPr>
                        <w:t>prirode</w:t>
                      </w:r>
                      <w:r>
                        <w:t xml:space="preserve"> ojačani ciljevima zelenog plana, kojima ujedno pridonose, uključujući </w:t>
                      </w:r>
                      <w:r>
                        <w:rPr>
                          <w:b/>
                        </w:rPr>
                        <w:t>klimatsku neutralnost</w:t>
                      </w:r>
                      <w:r>
                        <w:t xml:space="preserve"> i održivo upravljanje prirodnim resursima;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</w:rPr>
                      </w:pPr>
                      <w:r>
                        <w:t xml:space="preserve">iskoristila sve koristi </w:t>
                      </w:r>
                      <w:r>
                        <w:rPr>
                          <w:b/>
                        </w:rPr>
                        <w:t>digitalnih inovacija</w:t>
                      </w:r>
                      <w:r>
                        <w:t xml:space="preserve">, uključujući jednak </w:t>
                      </w:r>
                      <w:r>
                        <w:rPr>
                          <w:b/>
                        </w:rPr>
                        <w:t xml:space="preserve">pristup </w:t>
                      </w:r>
                      <w:r>
                        <w:t xml:space="preserve">novim tehnologijama, široko rasprostranjenu digitalnu pismenost i prilike za stjecanje naprednijih vještina; 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</w:rPr>
                      </w:pPr>
                      <w:r>
                        <w:t xml:space="preserve">postala dom </w:t>
                      </w:r>
                      <w:r>
                        <w:rPr>
                          <w:b/>
                        </w:rPr>
                        <w:t>poduzetnih, inovativnih</w:t>
                      </w:r>
                      <w:r>
                        <w:t xml:space="preserve"> i </w:t>
                      </w:r>
                      <w:r>
                        <w:rPr>
                          <w:b/>
                        </w:rPr>
                        <w:t>stručnih</w:t>
                      </w:r>
                      <w:r>
                        <w:t xml:space="preserve"> osoba koje zajedno pokreću tehnološki, ekološki i društveni napredak;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t xml:space="preserve">postala živopisna mjesta u kojima se </w:t>
                      </w:r>
                      <w:r>
                        <w:rPr>
                          <w:b/>
                        </w:rPr>
                        <w:t>pružaju učinkovite, pristupačne i cjenovno pristupačne javne i privatne usluge, uključujući prekogranične usluge</w:t>
                      </w:r>
                      <w:r>
                        <w:t xml:space="preserve">, u okviru kojih se nude prilagođena rješenja (kao što su prijevoz, obrazovanje, osposobljavanje, zdravstvo i skrb, uključujući dugotrajnu skrb, društveni život i maloprodaju); 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t xml:space="preserve">postala </w:t>
                      </w:r>
                      <w:r>
                        <w:rPr>
                          <w:b/>
                        </w:rPr>
                        <w:t>mjesta puna raznolikosti</w:t>
                      </w:r>
                      <w:r>
                        <w:t xml:space="preserve"> koja maksimalno iskorištavaju svoju jedinstvene prednosti, talente i potencijal.</w:t>
                      </w:r>
                    </w:p>
                    <w:p>
                      <w:pPr>
                        <w:spacing w:before="240" w:after="120"/>
                        <w:contextualSpacing/>
                        <w:rPr>
                          <w:rStyle w:val="normaltextrun"/>
                        </w:rPr>
                      </w:pPr>
                      <w:r>
                        <w:rPr>
                          <w:rStyle w:val="normaltextrun"/>
                        </w:rPr>
                        <w:t xml:space="preserve">U tim se težnjama, uz raznolikost ruralnih područja kao sredstva uspješne prilagodbe, odražava zajedničko stajalište i moguća dodana vrijednost EU-a, pa se predlaže da one budu </w:t>
                      </w:r>
                      <w:r>
                        <w:rPr>
                          <w:rStyle w:val="normaltextrun"/>
                          <w:b/>
                        </w:rPr>
                        <w:t>zajednički ciljevi</w:t>
                      </w:r>
                      <w:r>
                        <w:rPr>
                          <w:rStyle w:val="normaltextrun"/>
                        </w:rPr>
                        <w:t xml:space="preserve"> koje bi trebalo promicati u okviru </w:t>
                      </w:r>
                      <w:r>
                        <w:rPr>
                          <w:rStyle w:val="normaltextrun"/>
                          <w:b/>
                        </w:rPr>
                        <w:t>dugoročne vizije EU-a za ruralna područja</w:t>
                      </w:r>
                      <w:r>
                        <w:rPr>
                          <w:rStyle w:val="normaltextrun"/>
                        </w:rPr>
                        <w:t xml:space="preserve">. 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Četiri područja djelovanja – Jača, povezana, otporna i prosperitetna ruralna</w:t>
      </w:r>
      <w:r>
        <w:rPr>
          <w:noProof/>
        </w:rPr>
        <w:t xml:space="preserve"> područja – sažimaju zajedničke težnje ruralnih zajednica i dionika za ruralna područja u 2040. kako bi ona:</w:t>
      </w:r>
    </w:p>
    <w:p w:rsidR="00E25DD0" w:rsidRDefault="00E25DD0">
      <w:pPr>
        <w:rPr>
          <w:noProof/>
          <w:szCs w:val="24"/>
        </w:rPr>
      </w:pPr>
    </w:p>
    <w:p w:rsidR="00E25DD0" w:rsidRDefault="00216589">
      <w:pPr>
        <w:pStyle w:val="Naslov2"/>
        <w:numPr>
          <w:ilvl w:val="1"/>
          <w:numId w:val="10"/>
        </w:numPr>
        <w:rPr>
          <w:noProof/>
        </w:rPr>
      </w:pPr>
      <w:r>
        <w:rPr>
          <w:noProof/>
        </w:rPr>
        <w:t xml:space="preserve">Akcijski plan EU-a za ruralna područja </w:t>
      </w:r>
    </w:p>
    <w:p w:rsidR="00E25DD0" w:rsidRDefault="00216589">
      <w:pPr>
        <w:rPr>
          <w:noProof/>
        </w:rPr>
      </w:pPr>
      <w:r>
        <w:rPr>
          <w:noProof/>
        </w:rPr>
        <w:t>Kao dokaz obnovljene predanosti Komisije ruralnim zajednicama i razvoju ruralnih područja ovom se Komunika</w:t>
      </w:r>
      <w:r>
        <w:rPr>
          <w:noProof/>
        </w:rPr>
        <w:t>cijom predlaže akcijski plan za ruralna područja koji se temelji na vodećim inicijativama. Potpora za probleme i prilike u ruralnim područjima već se pruža u okviru nekoliko politika EU-a, koje ujedno pridonose uravnoteženom, pravednom, zelenom i inovativn</w:t>
      </w:r>
      <w:r>
        <w:rPr>
          <w:noProof/>
        </w:rPr>
        <w:t xml:space="preserve">om razvoju ruralnih područja. </w:t>
      </w:r>
    </w:p>
    <w:p w:rsidR="00E25DD0" w:rsidRDefault="00216589">
      <w:pPr>
        <w:rPr>
          <w:noProof/>
        </w:rPr>
      </w:pPr>
      <w:r>
        <w:rPr>
          <w:noProof/>
        </w:rPr>
        <w:t>Reformirana zajednička poljoprivredna politika (ZPP)</w:t>
      </w:r>
      <w:r>
        <w:rPr>
          <w:rStyle w:val="Referencafusnote"/>
          <w:noProof/>
          <w:szCs w:val="24"/>
        </w:rPr>
        <w:footnoteReference w:id="37"/>
      </w:r>
      <w:r>
        <w:rPr>
          <w:noProof/>
        </w:rPr>
        <w:t>, a posebno Europski poljoprivredni fond za ruralni razvoj (EPFRR), jedan je od ključnih izvora sredstava EU-a za ruralna područja jer se njime potiče pametan, otporan i di</w:t>
      </w:r>
      <w:r>
        <w:rPr>
          <w:noProof/>
        </w:rPr>
        <w:t>versificiran poljoprivredni sektor, unapređuje zaštita okoliša i djelovanje u području klime te jača socioekonomska struktura ruralnih područja.</w:t>
      </w:r>
    </w:p>
    <w:p w:rsidR="00E25DD0" w:rsidRDefault="00216589">
      <w:pPr>
        <w:rPr>
          <w:noProof/>
        </w:rPr>
      </w:pPr>
      <w:r>
        <w:rPr>
          <w:noProof/>
        </w:rPr>
        <w:t>Kohezijska politika</w:t>
      </w:r>
      <w:r>
        <w:rPr>
          <w:rStyle w:val="Referencafusnote"/>
          <w:noProof/>
          <w:szCs w:val="24"/>
        </w:rPr>
        <w:footnoteReference w:id="38"/>
      </w:r>
      <w:r>
        <w:rPr>
          <w:noProof/>
        </w:rPr>
        <w:t xml:space="preserve"> drugi je važan izvor potpore ruralnim područjima, kojim se promiče i podupire usklađen opć</w:t>
      </w:r>
      <w:r>
        <w:rPr>
          <w:noProof/>
        </w:rPr>
        <w:t>i razvoj država članica, regija i područja. Kako bi se ostvarili ti ciljevi, u okviru Europskog fonda za regionalni razvoj (EFRR), Kohezijskog fonda (KF) i Europskog socijalnog fonda plus (ESF+) mobiliziraju se znatna ulaganja u ljude i infrastrukturu u ru</w:t>
      </w:r>
      <w:r>
        <w:rPr>
          <w:noProof/>
        </w:rPr>
        <w:t>ralnim područjima. Izrada strategija prilagođenih potrebama svakog područja isto je tako moguća u okviru novih ciljeva kohezijske politike za razdoblje 2021.–2027.: „Europa bliža građanima” i „uključivija Europa s istaknutijom socijalnom komponentom”. Drža</w:t>
      </w:r>
      <w:r>
        <w:rPr>
          <w:noProof/>
        </w:rPr>
        <w:t xml:space="preserve">vama članicama i regijama ta politika pruža fleksibilan i prilagodljiv okvir za podupiranje integriranog teritorijalnog razvoja s višerazinskim upravljanjem. Omogućuje i pružanje potpore lokaliziranim rješenjima razvijenima u ruralnim područjima. </w:t>
      </w:r>
    </w:p>
    <w:p w:rsidR="00E25DD0" w:rsidRDefault="00216589">
      <w:pPr>
        <w:rPr>
          <w:noProof/>
        </w:rPr>
      </w:pPr>
      <w:r>
        <w:rPr>
          <w:noProof/>
        </w:rPr>
        <w:t>Države č</w:t>
      </w:r>
      <w:r>
        <w:rPr>
          <w:noProof/>
        </w:rPr>
        <w:t>lanice trebale bi stoga iskoristiti prilike koje nude strateški planovi u okviru ZPP-a i programi kohezijske politike za razdoblje 2021.–2027. kako bi potaknule održivi i integrirani ruralni razvoj. Osim toga, trebale bi iskoristiti vrlo velik potencijal M</w:t>
      </w:r>
      <w:r>
        <w:rPr>
          <w:noProof/>
        </w:rPr>
        <w:t>ehanizma za oporavak i otpornost (RRF), programa InvestEU i drugih programa EU-a te Europske investicijske banke kako bi se nadoknadila nedostatna ulaganja u ruralnim područjima. Potrebno je dosljedno mobilizirati financijska sredstva u skladu s nacionalni</w:t>
      </w:r>
      <w:r>
        <w:rPr>
          <w:noProof/>
        </w:rPr>
        <w:t xml:space="preserve">m i regionalnim intervencijama država članica, koje su i dalje ključne za pružanje sveobuhvatne potpore ruralnim područjima. </w:t>
      </w:r>
    </w:p>
    <w:p w:rsidR="00E25DD0" w:rsidRDefault="00216589">
      <w:pPr>
        <w:rPr>
          <w:noProof/>
        </w:rPr>
      </w:pPr>
      <w:r>
        <w:rPr>
          <w:noProof/>
        </w:rPr>
        <w:t>Osim tih ključnih mogućnosti financiranja, u akcijskom planu EU-a za ruralna područja na kojem se temelji ova vizija predstavit će</w:t>
      </w:r>
      <w:r>
        <w:rPr>
          <w:noProof/>
        </w:rPr>
        <w:t xml:space="preserve"> se konkretni projekti i inicijative koji će se usmjeriti na četiri područja djelovanja i objedinit će različita područja politika EU-a kako bi se ta vizija pretvorila u stvarnost. Kako bi se ostvarila vizija, niz inicijativa preraspodijeljen je oko vodeći</w:t>
      </w:r>
      <w:r>
        <w:rPr>
          <w:noProof/>
        </w:rPr>
        <w:t>h inicijativa kojima započinje zajednički rad na ostvarivanju zajedničkih ciljeva vizije te se u pravilu preraspodjeljuje niz mjera koje se međusobno nadopunjuju. Vodeće inicijative su provedivi projekti osnaženi pratećim mjerama koje su podrobno opisane u</w:t>
      </w:r>
      <w:r>
        <w:rPr>
          <w:noProof/>
        </w:rPr>
        <w:t xml:space="preserve"> Prilogu</w:t>
      </w:r>
      <w:r>
        <w:rPr>
          <w:rStyle w:val="Referencafusnote"/>
          <w:noProof/>
        </w:rPr>
        <w:footnoteReference w:id="39"/>
      </w:r>
      <w:r>
        <w:rPr>
          <w:noProof/>
        </w:rPr>
        <w:t xml:space="preserve">. </w:t>
      </w:r>
    </w:p>
    <w:p w:rsidR="00E25DD0" w:rsidRDefault="00E25DD0">
      <w:pPr>
        <w:rPr>
          <w:noProof/>
        </w:rPr>
      </w:pPr>
    </w:p>
    <w:p w:rsidR="00E25DD0" w:rsidRDefault="00216589">
      <w:pPr>
        <w:pStyle w:val="Naslov3"/>
        <w:ind w:left="845"/>
        <w:rPr>
          <w:noProof/>
          <w:color w:val="EFAC12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9" behindDoc="0" locked="0" layoutInCell="1" allowOverlap="1">
            <wp:simplePos x="0" y="0"/>
            <wp:positionH relativeFrom="column">
              <wp:posOffset>4502997</wp:posOffset>
            </wp:positionH>
            <wp:positionV relativeFrom="paragraph">
              <wp:posOffset>-344191</wp:posOffset>
            </wp:positionV>
            <wp:extent cx="969941" cy="739527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941" cy="73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FAC12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440055</wp:posOffset>
                </wp:positionV>
                <wp:extent cx="5553075" cy="1023620"/>
                <wp:effectExtent l="0" t="0" r="0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DD0" w:rsidRDefault="00216589">
                            <w:pPr>
                              <w:spacing w:before="120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„Potrebno je prepoznati ključnu važnost ruralnih područja za društvo u cjelini, poboljšati njihovu sliku i predodžbu među urbanim stanovništvom i donositeljima odluka te razbiti stereotipe o njima.”</w:t>
                            </w:r>
                          </w:p>
                          <w:p w:rsidR="00E25DD0" w:rsidRDefault="00216589">
                            <w:p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(aktivnosti savjetovanja o dugoročnoj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viziji)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5.05pt;margin-top:34.65pt;width:437.25pt;height:80.6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HrIgIAACUEAAAOAAAAZHJzL2Uyb0RvYy54bWysU11v2yAUfZ+0/4B4X+y4cT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" stroked="f">
                <v:textbox>
                  <w:txbxContent>
                    <w:p>
                      <w:pPr>
                        <w:spacing w:before="120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„Potrebno je prepoznati ključnu važnost ruralnih područja za društvo u cjelini, poboljšati njihovu sliku i predodžbu među urbanim stanovništvom i donositeljima odluka te razbiti stereotipe o njima.”</w:t>
                      </w:r>
                    </w:p>
                    <w:p>
                      <w:pPr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(aktivnosti savjetovanja o dugoročnoj viziji)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EFAC12"/>
          <w:sz w:val="28"/>
          <w:szCs w:val="28"/>
        </w:rPr>
        <w:t xml:space="preserve">Vodeće inicijative kojima se podupiru jača ruralna područja </w:t>
      </w:r>
    </w:p>
    <w:p w:rsidR="00E25DD0" w:rsidRDefault="00216589">
      <w:pPr>
        <w:rPr>
          <w:noProof/>
        </w:rPr>
      </w:pPr>
      <w:r>
        <w:rPr>
          <w:noProof/>
        </w:rPr>
        <w:t>Lokalne zajednice u najboljem su položaju za procjenu relativnih prednosti svojih područja i njihovo iskorištavanje. U posljednjih 30 godina zajednice se potiču na izradu lokalnih strategija uz financiranje sredstvima ZPP-a u okviru pristupa LEADER. Osim t</w:t>
      </w:r>
      <w:r>
        <w:rPr>
          <w:noProof/>
        </w:rPr>
        <w:t>oga, lokalni razvoj pod vodstvom zajednice (CLLD), posebno u prigradskim i obalnim područjima te na otocima, jedan je od ustaljenih elemenata kohezijske politike. Oslanjajući se na postojeće i buduće strategije lokalnog razvoja, poboljšano umrežavanje treb</w:t>
      </w:r>
      <w:r>
        <w:rPr>
          <w:noProof/>
        </w:rPr>
        <w:t xml:space="preserve">alo bi pomoći u boljem savjetovanju lokalnih zajednica, osobito o pristupu financiranju i osmišljavanju takvih strategija. U tom će se kontekstu i dalje promicati pristup pametnih sela. </w:t>
      </w:r>
    </w:p>
    <w:p w:rsidR="00E25DD0" w:rsidRDefault="00216589">
      <w:pPr>
        <w:rPr>
          <w:noProof/>
        </w:rPr>
      </w:pPr>
      <w:r>
        <w:rPr>
          <w:noProof/>
        </w:rPr>
        <w:t>Za poticanje dinamičnosti ruralnih područja predlažu se sljedeće inic</w:t>
      </w:r>
      <w:r>
        <w:rPr>
          <w:noProof/>
        </w:rPr>
        <w:t xml:space="preserve">ijative: </w:t>
      </w:r>
    </w:p>
    <w:p w:rsidR="00E25DD0" w:rsidRDefault="00216589">
      <w:pPr>
        <w:pStyle w:val="Odlomakpopisa"/>
        <w:numPr>
          <w:ilvl w:val="0"/>
          <w:numId w:val="4"/>
        </w:numPr>
        <w:spacing w:after="240" w:line="257" w:lineRule="auto"/>
        <w:ind w:left="714" w:hanging="35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Platforma za revitalizaciju ruralnih područja </w:t>
      </w:r>
    </w:p>
    <w:p w:rsidR="00E25DD0" w:rsidRDefault="00216589">
      <w:pPr>
        <w:rPr>
          <w:noProof/>
        </w:rPr>
      </w:pPr>
      <w:r>
        <w:rPr>
          <w:noProof/>
        </w:rPr>
        <w:t>Komisija će uspostaviti jedinstvenu platformu za informiranje o postojećim projektima i mogućnostima financiranja namijenjenu suradnji između ruralnih zajednica, nositelja ruralnih projekata i lokaln</w:t>
      </w:r>
      <w:r>
        <w:rPr>
          <w:noProof/>
        </w:rPr>
        <w:t>ih vlasti. To će građanima i zajednicama u ruralnim područjima omogućiti da istaknu kako su uspjeli iskoristiti posebnosti svojeg područja za stvaranje novih gospodarskih prilika ili pružanje usluga za stanovništvo tog područja. Nositeljima projekata ili v</w:t>
      </w:r>
      <w:r>
        <w:rPr>
          <w:noProof/>
        </w:rPr>
        <w:t>lastima u ruralnim područjima omogućit će se da te strategije prilagode svojoj stvarnosti.</w:t>
      </w:r>
    </w:p>
    <w:p w:rsidR="00E25DD0" w:rsidRDefault="00216589">
      <w:pPr>
        <w:pStyle w:val="Text3"/>
        <w:ind w:left="0"/>
        <w:rPr>
          <w:noProof/>
        </w:rPr>
      </w:pPr>
      <w:r>
        <w:rPr>
          <w:noProof/>
        </w:rPr>
        <w:t>Uglavnom će se podupirati ruralna područja pogođena gubitkom i starenjem stanovništva te nedostatkom gospodarskih prilika te će im se omogućiti pristup informacijama</w:t>
      </w:r>
      <w:r>
        <w:rPr>
          <w:noProof/>
        </w:rPr>
        <w:t>, alatima i strategijama koji su se u praksi pokazali najboljima.</w:t>
      </w:r>
    </w:p>
    <w:p w:rsidR="00E25DD0" w:rsidRDefault="00216589">
      <w:pPr>
        <w:pStyle w:val="Odlomakpopisa"/>
        <w:numPr>
          <w:ilvl w:val="0"/>
          <w:numId w:val="4"/>
        </w:numPr>
        <w:spacing w:after="240" w:line="257" w:lineRule="auto"/>
        <w:ind w:left="714" w:hanging="357"/>
        <w:rPr>
          <w:rFonts w:ascii="Times New Roman" w:hAnsi="Times New Roman" w:cs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Istraživanje i inovacije za ruralne zajednice </w:t>
      </w:r>
    </w:p>
    <w:p w:rsidR="00E25DD0" w:rsidRDefault="00216589">
      <w:pPr>
        <w:rPr>
          <w:noProof/>
          <w:szCs w:val="24"/>
        </w:rPr>
      </w:pPr>
      <w:r>
        <w:rPr>
          <w:noProof/>
        </w:rPr>
        <w:t>Snažni inovacijski ekosustavi koji okupljaju javne i privatne dionike glavna su prilika za ponovni procvat ruralnih zajednica, kao i da ruralna</w:t>
      </w:r>
      <w:r>
        <w:rPr>
          <w:noProof/>
        </w:rPr>
        <w:t xml:space="preserve"> područja budu privlačna mjesta za rad i život inovatora i da Europa mobilizira brojne inovatore, talente i kreativne umove koji nisu dio ključnih centara znanja. Djelovanjima u okviru ove vodeće inicijative promicat će se jačanje takvih ekosustava. Aktivn</w:t>
      </w:r>
      <w:r>
        <w:rPr>
          <w:noProof/>
        </w:rPr>
        <w:t>ostima istraživanja i inovacija usmjerenima na ruralna područja u okviru programa Obzor Europa poduprijet će se razvoj inovacija u ruralnim zajednicama i za njih, kao i osposobljavanje i razmjena znanja među dionicima u području ruralnih inovacija uspostav</w:t>
      </w:r>
      <w:r>
        <w:rPr>
          <w:noProof/>
        </w:rPr>
        <w:t>om godišnjeg foruma seoskih inkubatora, kako bi se ubrzalo širenje i prihvaćanje inovacija.</w:t>
      </w:r>
    </w:p>
    <w:p w:rsidR="00E25DD0" w:rsidRDefault="00216589">
      <w:pPr>
        <w:rPr>
          <w:noProof/>
        </w:rPr>
      </w:pPr>
      <w:r>
        <w:rPr>
          <w:noProof/>
        </w:rPr>
        <w:t>Te vodeće inicijative dopunit će se pratećim mjerama. Komisija će procijeniti kako najbolje potaknuti optimalno planiranje upotrebe i zoniranje zemljišta kako bi se</w:t>
      </w:r>
      <w:r>
        <w:rPr>
          <w:noProof/>
        </w:rPr>
        <w:t xml:space="preserve"> zaštitile i promicale održive poljoprivredne i druge gospodarske djelatnosti te dodatno poboljšalo umrežavanje u okviru inicijative LEADER i pametnih sela. I mjerama uključivanja u </w:t>
      </w:r>
      <w:r>
        <w:rPr>
          <w:noProof/>
        </w:rPr>
        <w:lastRenderedPageBreak/>
        <w:t>okviru novih programa kao što su Erasmus+ i Europske snage solidarnosti ob</w:t>
      </w:r>
      <w:r>
        <w:rPr>
          <w:noProof/>
        </w:rPr>
        <w:t>uhvatit će se više stanovnika ruralnih područja.</w:t>
      </w:r>
    </w:p>
    <w:p w:rsidR="00E25DD0" w:rsidRDefault="00E25DD0">
      <w:pPr>
        <w:rPr>
          <w:noProof/>
        </w:rPr>
      </w:pPr>
    </w:p>
    <w:p w:rsidR="00E25DD0" w:rsidRDefault="00216589">
      <w:pPr>
        <w:pStyle w:val="Naslov3"/>
        <w:ind w:left="845"/>
        <w:rPr>
          <w:noProof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55" behindDoc="0" locked="0" layoutInCell="1" allowOverlap="1">
            <wp:simplePos x="0" y="0"/>
            <wp:positionH relativeFrom="column">
              <wp:posOffset>4632014</wp:posOffset>
            </wp:positionH>
            <wp:positionV relativeFrom="paragraph">
              <wp:posOffset>-306099</wp:posOffset>
            </wp:positionV>
            <wp:extent cx="920077" cy="701107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077" cy="70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70C7F1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405130</wp:posOffset>
                </wp:positionV>
                <wp:extent cx="5486400" cy="136779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DD0" w:rsidRDefault="00216589">
                            <w:pPr>
                              <w:spacing w:before="120" w:line="276" w:lineRule="auto"/>
                              <w:rPr>
                                <w:bCs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Cs/>
                                <w:color w:val="808080" w:themeColor="background1" w:themeShade="80"/>
                              </w:rPr>
                              <w:t>„Bez obzira na to koliko se truda uloži u obrazovanje, promicanje turizma, razvoj novih gospodarskih inicijativa itd.,</w:t>
                            </w:r>
                            <w:r>
                              <w:rPr>
                                <w:bCs/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808080" w:themeColor="background1" w:themeShade="80"/>
                              </w:rPr>
                              <w:t>pristupačnost je i dalje ključna za uspjeh svih razvojnih inicijativa.</w:t>
                            </w:r>
                            <w:r>
                              <w:rPr>
                                <w:bCs/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808080" w:themeColor="background1" w:themeShade="80"/>
                              </w:rPr>
                              <w:t xml:space="preserve">Loša </w:t>
                            </w:r>
                            <w:r>
                              <w:rPr>
                                <w:bCs/>
                                <w:color w:val="808080" w:themeColor="background1" w:themeShade="80"/>
                              </w:rPr>
                              <w:t>pristupačnost i loša povezivost utječu na svaku razvojnu strategiju koja se provodi u ruralnim područjima.”</w:t>
                            </w:r>
                            <w:r>
                              <w:rPr>
                                <w:bCs/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E25DD0" w:rsidRDefault="00216589">
                            <w:pPr>
                              <w:spacing w:line="276" w:lineRule="auto"/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808080" w:themeColor="background1" w:themeShade="80"/>
                                <w:sz w:val="20"/>
                              </w:rPr>
                              <w:t>(aktivnosti savjetovanja o dugoročnoj viziji)</w:t>
                            </w:r>
                          </w:p>
                          <w:p w:rsidR="00E25DD0" w:rsidRDefault="00E25DD0">
                            <w:pPr>
                              <w:spacing w:line="276" w:lineRule="auto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.1pt;margin-top:31.9pt;width:6in;height:107.7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" stroked="f">
                <v:textbox>
                  <w:txbxContent>
                    <w:p>
                      <w:pPr>
                        <w:spacing w:before="120" w:line="276" w:lineRule="auto"/>
                        <w:rPr>
                          <w:bCs/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bCs/>
                          <w:color w:val="808080" w:themeColor="background1" w:themeShade="80"/>
                        </w:rPr>
                        <w:t>„Bez obzira na to koliko se truda uloži u obrazovanje, promicanje turizma, razvoj novih gospodarskih inicijativa itd.,</w:t>
                      </w:r>
                      <w:r>
                        <w:rPr>
                          <w:bCs/>
                          <w:i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Cs/>
                          <w:color w:val="808080" w:themeColor="background1" w:themeShade="80"/>
                        </w:rPr>
                        <w:t>pristupačnost je i dalje ključna za uspjeh svih razvojnih inicijativa.</w:t>
                      </w:r>
                      <w:r>
                        <w:rPr>
                          <w:bCs/>
                          <w:i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Cs/>
                          <w:color w:val="808080" w:themeColor="background1" w:themeShade="80"/>
                        </w:rPr>
                        <w:t>Loša pristupačnost i loša povezivost utječu na svaku razvojnu strategiju koja se provodi u ruralnim područjima.”</w:t>
                      </w:r>
                      <w:r>
                        <w:rPr>
                          <w:bCs/>
                          <w:i/>
                          <w:color w:val="808080" w:themeColor="background1" w:themeShade="80"/>
                        </w:rPr>
                        <w:t xml:space="preserve"> </w:t>
                      </w:r>
                    </w:p>
                    <w:p>
                      <w:pPr>
                        <w:spacing w:line="276" w:lineRule="auto"/>
                        <w:rPr>
                          <w:b/>
                          <w:bCs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bCs/>
                          <w:color w:val="808080" w:themeColor="background1" w:themeShade="80"/>
                          <w:sz w:val="20"/>
                        </w:rPr>
                        <w:t>(aktivnosti savjetovanja o dugoročnoj viziji)</w:t>
                      </w:r>
                    </w:p>
                    <w:p>
                      <w:pPr>
                        <w:spacing w:line="276" w:lineRule="auto"/>
                        <w:rPr>
                          <w:i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70C7F1"/>
          <w:sz w:val="28"/>
          <w:szCs w:val="28"/>
        </w:rPr>
        <w:t>Vodeće inicijative za poticanje povezanih ruralnih područja</w:t>
      </w:r>
    </w:p>
    <w:p w:rsidR="00E25DD0" w:rsidRDefault="00216589">
      <w:pPr>
        <w:pStyle w:val="Text3"/>
        <w:ind w:left="0"/>
        <w:rPr>
          <w:noProof/>
        </w:rPr>
      </w:pPr>
      <w:r>
        <w:rPr>
          <w:noProof/>
        </w:rPr>
        <w:t xml:space="preserve">Komisija poziva države članice i regije </w:t>
      </w:r>
      <w:r>
        <w:rPr>
          <w:noProof/>
        </w:rPr>
        <w:t>da razviju strategije održive ruralne mobilnosti. One bi trebale biti usmjerene na konkretne izazove ruralne mobilnosti</w:t>
      </w:r>
      <w:r>
        <w:rPr>
          <w:rStyle w:val="Referencafusnote"/>
          <w:noProof/>
        </w:rPr>
        <w:footnoteReference w:id="40"/>
      </w:r>
      <w:r>
        <w:rPr>
          <w:noProof/>
        </w:rPr>
        <w:t>, uzimajući u obzir prekogranične i makroregionalne veze kako bi se što bolje iskoristile postojeće mreže. Trebale bi se oslanjati na eu</w:t>
      </w:r>
      <w:r>
        <w:rPr>
          <w:noProof/>
        </w:rPr>
        <w:t>ropske smjernice o planiranju održive gradske mobilnosti</w:t>
      </w:r>
      <w:r>
        <w:rPr>
          <w:rStyle w:val="Referencafusnote"/>
          <w:noProof/>
        </w:rPr>
        <w:footnoteReference w:id="41"/>
      </w:r>
      <w:r>
        <w:rPr>
          <w:noProof/>
        </w:rPr>
        <w:t xml:space="preserve">. I gradska područja potiču se da donesu planove održive mobilnosti u kojima se pozornost posvećuje okolnim prigradskim i ruralnim područjima. </w:t>
      </w:r>
    </w:p>
    <w:p w:rsidR="00E25DD0" w:rsidRDefault="00216589">
      <w:pPr>
        <w:pStyle w:val="Text3"/>
        <w:ind w:left="0"/>
        <w:rPr>
          <w:noProof/>
        </w:rPr>
      </w:pPr>
      <w:r>
        <w:rPr>
          <w:noProof/>
        </w:rPr>
        <w:t>Širokopojasna pokrivenost, uključujući 5G, ključna je z</w:t>
      </w:r>
      <w:r>
        <w:rPr>
          <w:noProof/>
        </w:rPr>
        <w:t>a poduzeća i građane u kontekstu rada na daljinu i prilagodbe inovacijama i novim gospodarskim djelatnostima. Omogućuje i inovativne načine stjecanja novih vještina te je preduvjet za pružanje pristupačnih e-usluga kao što su e-zdravstvo, maloprodaja, inte</w:t>
      </w:r>
      <w:r>
        <w:rPr>
          <w:noProof/>
        </w:rPr>
        <w:t>rnetsko bankarstvo, informacije o putovanjima i pristup javnim upravama. Tomu će pridonijeti kombinacija zemaljske i svemirske povezivosti kojom se u cijelom svijetu osigurava brzi širokopojasni pristup radi pružanja otpornih i troškovno učinkovitih usluga</w:t>
      </w:r>
      <w:r>
        <w:rPr>
          <w:noProof/>
        </w:rPr>
        <w:t>. Za osiguravanje pristupačnosti ključan je i razvoj široko rasprostranjene digitalne pismenosti. Naposljetku, podaci bi se trebali upotrebljavati u korist ruralnih područja, na način da podrže poboljšano i učinkovito pružanje usluga, uključenost građana i</w:t>
      </w:r>
      <w:r>
        <w:rPr>
          <w:noProof/>
        </w:rPr>
        <w:t xml:space="preserve"> inovacije u sektorima kao što su mobilnost, energetika, opskrba hranom i zdravstvo. </w:t>
      </w:r>
    </w:p>
    <w:p w:rsidR="00E25DD0" w:rsidRDefault="00216589">
      <w:pPr>
        <w:spacing w:after="200" w:line="276" w:lineRule="auto"/>
        <w:jc w:val="left"/>
        <w:rPr>
          <w:noProof/>
        </w:rPr>
      </w:pPr>
      <w:r>
        <w:rPr>
          <w:noProof/>
        </w:rPr>
        <w:t>Za poticanje ruralne povezivosti predlažu se sljedeće inicijative:</w:t>
      </w:r>
    </w:p>
    <w:p w:rsidR="00E25DD0" w:rsidRDefault="00216589">
      <w:pPr>
        <w:pStyle w:val="Odlomakpopisa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Primjeri dobre prakse za održivu multimodalnu mobilnost u ruralnim područjima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E25DD0" w:rsidRDefault="00216589">
      <w:pPr>
        <w:rPr>
          <w:noProof/>
        </w:rPr>
      </w:pPr>
      <w:r>
        <w:rPr>
          <w:noProof/>
        </w:rPr>
        <w:t>Nužno je poboljšati post</w:t>
      </w:r>
      <w:r>
        <w:rPr>
          <w:noProof/>
        </w:rPr>
        <w:t>ojeće prometne veze. U tu bi svrhu digitalizacijom trebalo optimizirati održiva multimodalna rješenja za mobilnost i prometne veze. Oslanjajući se na svoje iskustvo s mrežama gradske mobilnosti, Komisija će podupirati ruralne općine u razmatranju i pronala</w:t>
      </w:r>
      <w:r>
        <w:rPr>
          <w:noProof/>
        </w:rPr>
        <w:t xml:space="preserve">ženju rješenja za mobilnost. Predstavljanjem inicijativa na lokalnoj razini lokalne vlasti moći će raspravljati o pitanjima ruralne mobilnosti i prilagoditi te </w:t>
      </w:r>
      <w:r>
        <w:rPr>
          <w:noProof/>
        </w:rPr>
        <w:lastRenderedPageBreak/>
        <w:t xml:space="preserve">inicijative kako bi unaprijedile mobilnost na svojem području i time povećale održivost prometa </w:t>
      </w:r>
      <w:r>
        <w:rPr>
          <w:noProof/>
        </w:rPr>
        <w:t>i pristupačnost ruralnih područja</w:t>
      </w:r>
      <w:r>
        <w:rPr>
          <w:noProof/>
          <w:vertAlign w:val="superscript"/>
        </w:rPr>
        <w:footnoteReference w:id="42"/>
      </w:r>
      <w:r>
        <w:rPr>
          <w:noProof/>
        </w:rPr>
        <w:t>.</w:t>
      </w:r>
    </w:p>
    <w:p w:rsidR="00E25DD0" w:rsidRDefault="00216589">
      <w:pPr>
        <w:pStyle w:val="Odlomakpopisa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„Digitalna budućnost ruralnih područja” </w:t>
      </w:r>
    </w:p>
    <w:p w:rsidR="00E25DD0" w:rsidRDefault="00216589">
      <w:pPr>
        <w:spacing w:after="120"/>
        <w:rPr>
          <w:noProof/>
          <w:color w:val="1F497D"/>
        </w:rPr>
      </w:pPr>
      <w:r>
        <w:rPr>
          <w:noProof/>
        </w:rPr>
        <w:t>Ruralna područja i zajednice trebaju biti u središtu digitalizacije. U okviru „digitalne budućnosti ruralnih područja” predlaže se integrirani skup mjera za poticanje održive digitalne transformacije ruralnih područja i povećanje njihove privlačnosti za os</w:t>
      </w:r>
      <w:r>
        <w:rPr>
          <w:noProof/>
        </w:rPr>
        <w:t xml:space="preserve">tanak ili povratak građana i poduzeća. Inicijativa će obuhvatiti: </w:t>
      </w:r>
    </w:p>
    <w:p w:rsidR="00E25DD0" w:rsidRDefault="00216589">
      <w:pPr>
        <w:pStyle w:val="Odlomakpopisa"/>
        <w:numPr>
          <w:ilvl w:val="0"/>
          <w:numId w:val="25"/>
        </w:numPr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digitalnu povezivost: premošćivanje jaza između ruralnih i gradskih područja te omogućivanje univerzalnog i povoljnog pristupa brzoj povezivosti. To će se postići mobiliziranjem ulaganja pr</w:t>
      </w:r>
      <w:r>
        <w:rPr>
          <w:rFonts w:ascii="Times New Roman" w:hAnsi="Times New Roman"/>
          <w:noProof/>
          <w:sz w:val="24"/>
          <w:szCs w:val="24"/>
        </w:rPr>
        <w:t xml:space="preserve">ivatnog sektora; </w:t>
      </w:r>
    </w:p>
    <w:p w:rsidR="00E25DD0" w:rsidRDefault="00216589">
      <w:pPr>
        <w:pStyle w:val="Odlomakpopisa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digitalnu tehnologiju: digitalne inovacije i nove tehnologije kao što su umjetna inteligencija, robotika, rješenja za internet stvari i centri za digitalne inovacije koji pridonose razvoju ruralnih područja;</w:t>
      </w:r>
    </w:p>
    <w:p w:rsidR="00E25DD0" w:rsidRDefault="00216589">
      <w:pPr>
        <w:pStyle w:val="Odlomakpopisa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ljude: jačanje kompetencija po</w:t>
      </w:r>
      <w:r>
        <w:rPr>
          <w:rFonts w:ascii="Times New Roman" w:hAnsi="Times New Roman"/>
          <w:noProof/>
          <w:sz w:val="24"/>
          <w:szCs w:val="24"/>
        </w:rPr>
        <w:t>trebnih za digitalnu transformaciju ruralnih područja, uključujući pristup visokokvalitetnom ekosustavu digitalnog obrazovanja i sudjelovanje u njemu, u skladu sa strateškim ciljevima Akcijskog plana za digitalno obrazovanje za razdoblje 2021.–2027.</w:t>
      </w:r>
      <w:r>
        <w:rPr>
          <w:rStyle w:val="Referencafusnote"/>
          <w:rFonts w:ascii="Times New Roman" w:eastAsia="Times New Roman" w:hAnsi="Times New Roman" w:cs="Times New Roman"/>
          <w:noProof/>
          <w:sz w:val="24"/>
          <w:szCs w:val="24"/>
          <w:lang w:eastAsia="en-GB"/>
        </w:rPr>
        <w:footnoteReference w:id="43"/>
      </w:r>
      <w:r>
        <w:rPr>
          <w:rFonts w:ascii="Times New Roman" w:hAnsi="Times New Roman"/>
          <w:noProof/>
          <w:sz w:val="24"/>
          <w:szCs w:val="24"/>
        </w:rPr>
        <w:t>, te p</w:t>
      </w:r>
      <w:r>
        <w:rPr>
          <w:rFonts w:ascii="Times New Roman" w:hAnsi="Times New Roman"/>
          <w:noProof/>
          <w:sz w:val="24"/>
          <w:szCs w:val="24"/>
        </w:rPr>
        <w:t>romicanje digitalnih vještina i poduzetništva kako bi svi mogli imati koristi od digitalne tranzicije;</w:t>
      </w:r>
    </w:p>
    <w:p w:rsidR="00E25DD0" w:rsidRDefault="00216589">
      <w:pPr>
        <w:pStyle w:val="Odlomakpopisa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mjerenje napretka u premošćivanju digitalnog jaza između gradskih i ruralnih područja ponovnim utvrđivanjem postojećih pokazatelja, posebno onih iz Indek</w:t>
      </w:r>
      <w:r>
        <w:rPr>
          <w:rFonts w:ascii="Times New Roman" w:hAnsi="Times New Roman"/>
          <w:noProof/>
          <w:sz w:val="24"/>
          <w:szCs w:val="24"/>
        </w:rPr>
        <w:t>sa gospodarske i društvene digitalizacije, u indeksu digitalizacije ruralnih područja.</w:t>
      </w:r>
    </w:p>
    <w:p w:rsidR="00E25DD0" w:rsidRDefault="00216589">
      <w:pPr>
        <w:rPr>
          <w:noProof/>
          <w:szCs w:val="24"/>
        </w:rPr>
      </w:pPr>
      <w:r>
        <w:rPr>
          <w:noProof/>
        </w:rPr>
        <w:t>Cilj je EU-a do 2030. osigurati da demokratski život i javne usluge budu u potpunosti dostupni svima na internetu. U skladu s Digitalnim kompasom 2030. ključne javne usl</w:t>
      </w:r>
      <w:r>
        <w:rPr>
          <w:noProof/>
        </w:rPr>
        <w:t>uge pružale bi se europskim građanima i poduzećima u cijelosti putem interneta; svi europski građani imali bi pristup medicinskoj dokumentaciji (e-zapisima); a 80 % građana koristilo bi se do 2030. digitalnim identifikacijskim sredstvom.</w:t>
      </w:r>
      <w:r>
        <w:rPr>
          <w:rStyle w:val="Referencafusnote"/>
          <w:noProof/>
        </w:rPr>
        <w:footnoteReference w:id="44"/>
      </w:r>
    </w:p>
    <w:p w:rsidR="00E25DD0" w:rsidRDefault="00216589">
      <w:pPr>
        <w:rPr>
          <w:noProof/>
        </w:rPr>
      </w:pPr>
      <w:r>
        <w:rPr>
          <w:noProof/>
        </w:rPr>
        <w:t>Europska sredstva</w:t>
      </w:r>
      <w:r>
        <w:rPr>
          <w:noProof/>
        </w:rPr>
        <w:t xml:space="preserve"> iz EPFRR-a, EFRR-a, ESF+ i Instrumenta za povezivanje Europe (CEF), Mehanizma za oporavak i otpornost te nacionalna i privatna sredstva trebalo bi zajednički iskoristiti za ulaganje u infrastrukturu, tehnologiju i ljude. Tim će se ulaganjima pridonijeti p</w:t>
      </w:r>
      <w:r>
        <w:rPr>
          <w:noProof/>
        </w:rPr>
        <w:t>ostizanju cilja 100 %-tne brze širokopojasne pokrivenosti u ruralnim područjima do 2025. Treba napomenuti da bi najmanje 20 % sredstava iz Mehanizma za oporavak i otpornost trebalo izdvojiti za potporu digitalnoj tranziciji. Kako je navedeno u Komunikaciji</w:t>
      </w:r>
      <w:r>
        <w:rPr>
          <w:noProof/>
        </w:rPr>
        <w:t xml:space="preserve"> o digitalnom desetljeću, sva europska kućanstva trebala bi do 2030. biti obuhvaćena gigabitnom mrežom, a sva naseljena područja 5G mrežom.</w:t>
      </w:r>
    </w:p>
    <w:p w:rsidR="00E25DD0" w:rsidRDefault="00216589">
      <w:pPr>
        <w:pStyle w:val="Text3"/>
        <w:ind w:left="0"/>
        <w:rPr>
          <w:noProof/>
        </w:rPr>
      </w:pPr>
      <w:r>
        <w:rPr>
          <w:noProof/>
        </w:rPr>
        <w:lastRenderedPageBreak/>
        <w:t>Uz te vodeće mjere Komisija će pružiti potporu i uredima za širokopojasne usluge kako bi se olakšalo uvođenje široko</w:t>
      </w:r>
      <w:r>
        <w:rPr>
          <w:noProof/>
        </w:rPr>
        <w:t>pojasne mreže. Sredstvima ZPP-a, kohezijske politike, programa Obzor 2020. i Obzor Europa omogućit će se daljnja digitalizacija, posebno poljoprivrednog sektora. Kad je riječ o prometu, pitanje povezanosti gradskih i ruralnih područja obradit će se u novom</w:t>
      </w:r>
      <w:r>
        <w:rPr>
          <w:noProof/>
        </w:rPr>
        <w:t xml:space="preserve"> okviru EU-a za gradsku mobilnost, a potrebe ruralnih područja uzet će se u obzir u Strategiji za dronove 2.0. </w:t>
      </w:r>
    </w:p>
    <w:p w:rsidR="00E25DD0" w:rsidRDefault="00216589">
      <w:pPr>
        <w:pStyle w:val="Text3"/>
        <w:ind w:left="0"/>
        <w:rPr>
          <w:noProof/>
        </w:rPr>
      </w:pPr>
      <w:r>
        <w:rPr>
          <w:noProof/>
          <w:color w:val="6AB974"/>
          <w:sz w:val="28"/>
          <w:szCs w:val="28"/>
          <w:lang w:eastAsia="hr-HR"/>
        </w:rPr>
        <w:drawing>
          <wp:anchor distT="0" distB="0" distL="114300" distR="114300" simplePos="0" relativeHeight="251658258" behindDoc="0" locked="0" layoutInCell="1" allowOverlap="1">
            <wp:simplePos x="0" y="0"/>
            <wp:positionH relativeFrom="column">
              <wp:posOffset>4733097</wp:posOffset>
            </wp:positionH>
            <wp:positionV relativeFrom="paragraph">
              <wp:posOffset>5301</wp:posOffset>
            </wp:positionV>
            <wp:extent cx="866692" cy="705485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81" cy="71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DD0" w:rsidRDefault="00216589">
      <w:pPr>
        <w:pStyle w:val="Naslov3"/>
        <w:ind w:left="845"/>
        <w:rPr>
          <w:noProof/>
          <w:sz w:val="28"/>
          <w:szCs w:val="28"/>
        </w:rPr>
      </w:pPr>
      <w:r>
        <w:rPr>
          <w:noProof/>
          <w:color w:val="6AB974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464866</wp:posOffset>
                </wp:positionV>
                <wp:extent cx="5455920" cy="2026285"/>
                <wp:effectExtent l="0" t="0" r="5715" b="57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DD0" w:rsidRDefault="00216589">
                            <w:pPr>
                              <w:spacing w:before="120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„Ideja održivosti mora se ugraditi u svaki aspekt razvoja ruralnih područja.”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–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„Klimatski prihvatljive metode proizvodnje stvaraju nove ni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še i prilike koje će poljoprivrednici moći iskoristiti u budućnosti.”</w:t>
                            </w:r>
                          </w:p>
                          <w:p w:rsidR="00E25DD0" w:rsidRDefault="00216589">
                            <w:pPr>
                              <w:spacing w:before="120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„COVID-19 razotkrio je različite slabosti i mogućnosti raznih područja.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Iako se čini da je rizik od širenja bolesti manji u ruralnim nego u izrazito urbaniziranim područjima,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stanovništvo ruralnih područja, koje je općenito starije a time i ranjivije, moralo se suočiti s činjenicom da u njihovoj blizini nema zdravstvenih ustanova ni usluga.”</w:t>
                            </w:r>
                          </w:p>
                          <w:p w:rsidR="00E25DD0" w:rsidRDefault="00216589">
                            <w:p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(aktivnosti savjetovanja o dugoročnoj viziji)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.1pt;margin-top:36.6pt;width:429.6pt;height:159.5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" stroked="f">
                <v:textbox>
                  <w:txbxContent>
                    <w:p>
                      <w:pPr>
                        <w:spacing w:before="120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„Ideja održivosti mora se ugraditi u svaki aspekt razvoja ruralnih područja.”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– </w:t>
                      </w:r>
                      <w:r>
                        <w:rPr>
                          <w:color w:val="808080" w:themeColor="background1" w:themeShade="80"/>
                        </w:rPr>
                        <w:t>„Klimatski prihvatljive metode proizvodnje stvaraju nove niše i prilike koje će poljoprivrednici moći iskoristiti u budućnosti.”</w:t>
                      </w:r>
                    </w:p>
                    <w:p>
                      <w:pPr>
                        <w:spacing w:before="120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„COVID-19 razotkrio je različite slabosti i mogućnosti raznih područja.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>Iako se čini da je rizik od širenja bolesti manji u ruralnim nego u izrazito urbaniziranim područjima, stanovništvo ruralnih područja, koje je općenito starije a time i ranjivije, moralo se suočiti s činjenicom da u njihovoj blizini nema zdravstvenih ustanova ni usluga.”</w:t>
                      </w:r>
                    </w:p>
                    <w:p>
                      <w:pPr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(aktivnosti savjetovanja o dugoročnoj viziji)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6AB974"/>
          <w:sz w:val="28"/>
          <w:szCs w:val="28"/>
        </w:rPr>
        <w:t>Vodeće inicijative kojima se podupiru otp</w:t>
      </w:r>
      <w:r>
        <w:rPr>
          <w:noProof/>
          <w:color w:val="6AB974"/>
          <w:sz w:val="28"/>
          <w:szCs w:val="28"/>
        </w:rPr>
        <w:t>orna ruralna područja</w:t>
      </w:r>
    </w:p>
    <w:p w:rsidR="00E25DD0" w:rsidRDefault="00216589">
      <w:pPr>
        <w:pStyle w:val="Text3"/>
        <w:ind w:left="0"/>
        <w:rPr>
          <w:noProof/>
        </w:rPr>
      </w:pPr>
      <w:r>
        <w:rPr>
          <w:noProof/>
        </w:rPr>
        <w:t>Mjere u okviru ovog područja djelovanja, kojima će se pridonijeti povećanju otpornosti okoliša ruralnih područja, njihove otpornosti na klimatske promjene i socijalne otpornosti, bit će namijenjene poduzećima i tijelima jer bi ona mog</w:t>
      </w:r>
      <w:r>
        <w:rPr>
          <w:noProof/>
        </w:rPr>
        <w:t>la snositi nerazmjeran udio troškova tranzicije. Mjerama bi trebalo osigurati uključivanje građana EU-a kojima bi mogla biti uskraćena prava, promicanje rodne ravnopravnosti, jednakost i uključenost pripadnika etničkih ili rasnih manjina koji žive u ruraln</w:t>
      </w:r>
      <w:r>
        <w:rPr>
          <w:noProof/>
        </w:rPr>
        <w:t>im područjima odnosno sezonskih radnika te bi trebalo dati jednak prioritet gospodarskom i socijalnom napretku.</w:t>
      </w:r>
    </w:p>
    <w:p w:rsidR="00E25DD0" w:rsidRDefault="00216589">
      <w:pPr>
        <w:pStyle w:val="Text3"/>
        <w:ind w:left="0"/>
        <w:rPr>
          <w:noProof/>
        </w:rPr>
      </w:pPr>
      <w:r>
        <w:rPr>
          <w:noProof/>
        </w:rPr>
        <w:t>Za doprinos otpornosti ruralnih područja predlažu se sljedeće inicijative:</w:t>
      </w:r>
    </w:p>
    <w:p w:rsidR="00E25DD0" w:rsidRDefault="00216589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Potpora ruralnim općinama u energetskoj tranziciji i borbi protiv kli</w:t>
      </w:r>
      <w:r>
        <w:rPr>
          <w:rFonts w:ascii="Times New Roman" w:hAnsi="Times New Roman"/>
          <w:b/>
          <w:noProof/>
          <w:sz w:val="24"/>
          <w:szCs w:val="24"/>
        </w:rPr>
        <w:t>matskih promjena</w:t>
      </w:r>
    </w:p>
    <w:p w:rsidR="00E25DD0" w:rsidRDefault="00216589">
      <w:pPr>
        <w:spacing w:after="120"/>
        <w:rPr>
          <w:b/>
          <w:noProof/>
          <w:szCs w:val="24"/>
        </w:rPr>
      </w:pPr>
      <w:r>
        <w:rPr>
          <w:noProof/>
        </w:rPr>
        <w:t>Sporazum gradonačelnika za energiju i klimatske promjene najveća je mreža općina na svijetu. Uspostavit će se područje rada za ruralna područja kako bi potpisnici iz tih područja mogli razmjenjivati primjere dobre prakse, pristupati sredst</w:t>
      </w:r>
      <w:r>
        <w:rPr>
          <w:noProof/>
        </w:rPr>
        <w:t>vima i isticati svoj doprinos borbi protiv klimatskih promjena. Obnova zgrada u ruralnim područjima može se financirati europskim sredstvima, čime se podupire oporavak EU-a od pandemije bolesti COVID-19 jer se pritom otvaraju radna mjesta</w:t>
      </w:r>
      <w:r>
        <w:rPr>
          <w:rStyle w:val="Referencafusnote"/>
          <w:noProof/>
          <w:szCs w:val="24"/>
        </w:rPr>
        <w:footnoteReference w:id="45"/>
      </w:r>
      <w:r>
        <w:rPr>
          <w:noProof/>
        </w:rPr>
        <w:t xml:space="preserve"> i pridonosi se c</w:t>
      </w:r>
      <w:r>
        <w:rPr>
          <w:noProof/>
        </w:rPr>
        <w:t>iljevima zelenog plana povećanjem energetske učinkovitosti, lokalnom proizvodnjom energije iz obnovljivih izvora i smanjenjem energetskog siromaštva u EU-u. Ruralna područja bit će u potpunosti zastupljena i u novom europskom Bauhausu</w:t>
      </w:r>
      <w:r>
        <w:rPr>
          <w:rStyle w:val="Referencafusnote"/>
          <w:b/>
          <w:noProof/>
          <w:szCs w:val="24"/>
        </w:rPr>
        <w:footnoteReference w:id="46"/>
      </w:r>
      <w:r>
        <w:rPr>
          <w:noProof/>
        </w:rPr>
        <w:t>, kojim se europski z</w:t>
      </w:r>
      <w:r>
        <w:rPr>
          <w:noProof/>
        </w:rPr>
        <w:t xml:space="preserve">eleni plan povezuje s našim životnim prostorima prilagodbom zgrada i javnih prostora. </w:t>
      </w:r>
    </w:p>
    <w:p w:rsidR="00E25DD0" w:rsidRDefault="00216589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 xml:space="preserve">Mjera u području klime: tresetišta za sekvestraciju ugljika u poljoprivredi </w:t>
      </w:r>
    </w:p>
    <w:p w:rsidR="00E25DD0" w:rsidRDefault="00216589">
      <w:pPr>
        <w:spacing w:after="120"/>
        <w:rPr>
          <w:noProof/>
          <w:szCs w:val="24"/>
        </w:rPr>
      </w:pPr>
      <w:r>
        <w:rPr>
          <w:noProof/>
        </w:rPr>
        <w:t>Obnova, ponovna uspostava i očuvanje močvarnih područja i tresetišta mogu uvelike pogodovati</w:t>
      </w:r>
      <w:r>
        <w:rPr>
          <w:noProof/>
        </w:rPr>
        <w:t xml:space="preserve"> klimi jer mogu odmah dovesti do znatnog smanjenja emisija na relativno malom području i pritom donijeti dodatne koristi u području upravljanja vodama i bioraznolikosti. </w:t>
      </w:r>
    </w:p>
    <w:p w:rsidR="00E25DD0" w:rsidRDefault="00216589">
      <w:pPr>
        <w:rPr>
          <w:noProof/>
          <w:szCs w:val="24"/>
        </w:rPr>
      </w:pPr>
      <w:r>
        <w:rPr>
          <w:noProof/>
        </w:rPr>
        <w:t>Ta bi tranzicija bila učinkovitija uz teritorijalni pristup, posebno u ruralnim podru</w:t>
      </w:r>
      <w:r>
        <w:rPr>
          <w:noProof/>
        </w:rPr>
        <w:t>čjima po kojima se prostiru tresetišta. Te bi regije mogle imati koristi od potpore u okviru Fonda za pravednu tranziciju. Inicijative za sekvestraciju ugljika u poljoprivredi mogle bi biti dodatan izvor prihoda za poljoprivrednike i šumare, koje bi se nag</w:t>
      </w:r>
      <w:r>
        <w:rPr>
          <w:noProof/>
        </w:rPr>
        <w:t>rađivalo za sekvestraciju ugljika. Kako je utvrđeno u strategiji „od polja do stola”, novom inicijativom EU-a za sekvestraciju ugljika u poljoprivredi promicat će se taj novi poslovni model. ZPP, kohezijska politika i program LIFE mogu pružiti potporu razv</w:t>
      </w:r>
      <w:r>
        <w:rPr>
          <w:noProof/>
        </w:rPr>
        <w:t xml:space="preserve">oju pilot-inicijativa za sekvestraciju ugljika u poljoprivredi u dotičnim regijama. Posebno će biti važno osigurati snažnu savjetodavnu potporu poljoprivrednicima i šumarima. </w:t>
      </w:r>
    </w:p>
    <w:p w:rsidR="00E25DD0" w:rsidRDefault="00216589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Predložena misija EU-a za zdravlje tla i hranu </w:t>
      </w:r>
    </w:p>
    <w:p w:rsidR="00E25DD0" w:rsidRDefault="00216589">
      <w:pPr>
        <w:rPr>
          <w:noProof/>
        </w:rPr>
      </w:pPr>
      <w:r>
        <w:rPr>
          <w:noProof/>
        </w:rPr>
        <w:t xml:space="preserve">Provedba ambicioznog programa za istraživanje i inovacije cilj je predložene misije u području zdravlja tla i hrane koja se financira u okviru programa Obzor Europa. Misija bi trebala pridonijeti rješavanju pedoloških problema u ruralnim područjima, ali i </w:t>
      </w:r>
      <w:r>
        <w:rPr>
          <w:noProof/>
        </w:rPr>
        <w:t xml:space="preserve">u gradskim sredinama, te na taj način povezati praksu iz ruralnih i gradskih područja. U okviru misije trebale bi se provoditi i aktivnosti uključivanja građana te će se nastojati poboljšati znanje o tlu. </w:t>
      </w:r>
    </w:p>
    <w:p w:rsidR="00E25DD0" w:rsidRDefault="00216589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Socijalna otpornost i žene u ruralnim područjima </w:t>
      </w:r>
    </w:p>
    <w:p w:rsidR="00E25DD0" w:rsidRDefault="00216589">
      <w:pPr>
        <w:rPr>
          <w:noProof/>
        </w:rPr>
      </w:pPr>
      <w:r>
        <w:rPr>
          <w:noProof/>
        </w:rPr>
        <w:t>Poduprijet će se poduzetništvo žena, sudjelovanje u donošenju odluka i ulaganja u usluge za uspostavu ravnoteže između poslovnog i privatnog života, kao što su rani i predškolski odgoj i obrazovanje te usluge za starije osobe. Predviđene su i mogućnosti za</w:t>
      </w:r>
      <w:r>
        <w:rPr>
          <w:noProof/>
        </w:rPr>
        <w:t xml:space="preserve"> povećanje integracije žena na tržište rada. </w:t>
      </w:r>
    </w:p>
    <w:p w:rsidR="00E25DD0" w:rsidRDefault="00216589">
      <w:pPr>
        <w:rPr>
          <w:noProof/>
        </w:rPr>
      </w:pPr>
      <w:r>
        <w:rPr>
          <w:noProof/>
        </w:rPr>
        <w:t>Kako je najavljeno u Strategiji za rodnu ravnopravnost za razdoblje 2020.–2025.</w:t>
      </w:r>
      <w:r>
        <w:rPr>
          <w:rStyle w:val="Referencafusnote"/>
          <w:noProof/>
          <w:szCs w:val="24"/>
        </w:rPr>
        <w:footnoteReference w:id="47"/>
      </w:r>
      <w:r>
        <w:rPr>
          <w:noProof/>
        </w:rPr>
        <w:t>, Komisija će i dalje podupirati rad država članica na poboljšanju dostupnosti, pristupačnosti i cjenovne pristupačnosti kvalitetn</w:t>
      </w:r>
      <w:r>
        <w:rPr>
          <w:noProof/>
        </w:rPr>
        <w:t>ih usluga obrazovanja i skrbi za djecu</w:t>
      </w:r>
      <w:r>
        <w:rPr>
          <w:rStyle w:val="Referencafusnote"/>
          <w:noProof/>
        </w:rPr>
        <w:footnoteReference w:id="48"/>
      </w:r>
      <w:r>
        <w:rPr>
          <w:noProof/>
        </w:rPr>
        <w:t xml:space="preserve"> i druge uzdržavane osobe u ruralnim područjima ulaganjima iz Europskog socijalnog fonda plus, Europskog fonda za regionalni razvoj, programa InvestEU i Europskog poljoprivrednog fonda za ruralni razvoj. Posebna pozor</w:t>
      </w:r>
      <w:r>
        <w:rPr>
          <w:noProof/>
        </w:rPr>
        <w:t xml:space="preserve">nost posvetit će se osobama u osjetljivom položaju. </w:t>
      </w:r>
    </w:p>
    <w:p w:rsidR="00E25DD0" w:rsidRDefault="00216589">
      <w:pPr>
        <w:rPr>
          <w:noProof/>
          <w:szCs w:val="24"/>
        </w:rPr>
      </w:pPr>
      <w:r>
        <w:rPr>
          <w:noProof/>
        </w:rPr>
        <w:t>Te četiri vodeće inicijative dopunit će se drugim mjerama za demografsku i socijalnu otpornost. Te će mjere, među ostalim, biti usmjerene na podupiranje analize pokretača demografskog pada u ruralnim pod</w:t>
      </w:r>
      <w:r>
        <w:rPr>
          <w:noProof/>
        </w:rPr>
        <w:t>ručjima u Europi te uključivanje i integraciju osoba migrantskog podrijetla i drugih manjina.</w:t>
      </w:r>
    </w:p>
    <w:p w:rsidR="00E25DD0" w:rsidRDefault="00216589">
      <w:pPr>
        <w:spacing w:after="200" w:line="276" w:lineRule="auto"/>
        <w:jc w:val="left"/>
        <w:rPr>
          <w:noProof/>
          <w:szCs w:val="24"/>
        </w:rPr>
      </w:pPr>
      <w:r>
        <w:rPr>
          <w:noProof/>
        </w:rPr>
        <w:br w:type="page"/>
      </w:r>
    </w:p>
    <w:p w:rsidR="00E25DD0" w:rsidRDefault="00216589">
      <w:pPr>
        <w:rPr>
          <w:noProof/>
        </w:rPr>
      </w:pPr>
      <w:r>
        <w:rPr>
          <w:noProof/>
          <w:color w:val="E63335"/>
          <w:sz w:val="28"/>
          <w:szCs w:val="28"/>
          <w:lang w:eastAsia="hr-HR"/>
        </w:rPr>
        <w:lastRenderedPageBreak/>
        <w:drawing>
          <wp:anchor distT="0" distB="0" distL="114300" distR="114300" simplePos="0" relativeHeight="251658260" behindDoc="0" locked="0" layoutInCell="1" allowOverlap="1">
            <wp:simplePos x="0" y="0"/>
            <wp:positionH relativeFrom="column">
              <wp:posOffset>5035246</wp:posOffset>
            </wp:positionH>
            <wp:positionV relativeFrom="paragraph">
              <wp:posOffset>12258</wp:posOffset>
            </wp:positionV>
            <wp:extent cx="755374" cy="683135"/>
            <wp:effectExtent l="0" t="0" r="6985" b="317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73" cy="704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DD0" w:rsidRDefault="00216589">
      <w:pPr>
        <w:pStyle w:val="Naslov3"/>
        <w:ind w:left="845"/>
        <w:rPr>
          <w:noProof/>
          <w:sz w:val="28"/>
          <w:szCs w:val="28"/>
        </w:rPr>
      </w:pPr>
      <w:r>
        <w:rPr>
          <w:noProof/>
          <w:color w:val="E63335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439420</wp:posOffset>
                </wp:positionV>
                <wp:extent cx="5446395" cy="1089025"/>
                <wp:effectExtent l="0" t="0" r="190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DD0" w:rsidRDefault="00216589">
                            <w:pPr>
                              <w:spacing w:before="120"/>
                              <w:rPr>
                                <w:bCs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„Diversifikacija gospodarstva, promicanje inovacija ruralnih poduzeća, osobito mikropoduzeća, i u konačnici povećanje konkurentnosti poduzetničke strukture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u ruralnim područjima ključni su za budućnost tih područja.”</w:t>
                            </w:r>
                          </w:p>
                          <w:p w:rsidR="00E25DD0" w:rsidRDefault="0021658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(aktivnosti savjetovanja o dugoročnoj viziji)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E25DD0" w:rsidRDefault="00E25DD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.15pt;margin-top:34.6pt;width:428.85pt;height:85.7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" stroked="f">
                <v:textbox>
                  <w:txbxContent>
                    <w:p>
                      <w:pPr>
                        <w:spacing w:before="120"/>
                        <w:rPr>
                          <w:bCs/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„Diversifikacija gospodarstva, promicanje inovacija ruralnih poduzeća, osobito mikropoduzeća, i u konačnici povećanje konkurentnosti poduzetničke strukture u ruralnim područjima ključni su za budućnost tih područja.”</w:t>
                      </w:r>
                    </w:p>
                    <w:p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(aktivnosti savjetovanja o dugoročnoj viziji)</w:t>
                      </w: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</w:p>
                    <w:p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E63335"/>
          <w:sz w:val="28"/>
          <w:szCs w:val="28"/>
        </w:rPr>
        <w:t>Vodeće inicijative kojima se promiču prosperitetna ruralna područja</w:t>
      </w:r>
      <w:r>
        <w:rPr>
          <w:noProof/>
          <w:sz w:val="28"/>
          <w:szCs w:val="28"/>
        </w:rPr>
        <w:t xml:space="preserve"> </w:t>
      </w:r>
    </w:p>
    <w:p w:rsidR="00E25DD0" w:rsidRDefault="00216589">
      <w:pPr>
        <w:rPr>
          <w:noProof/>
        </w:rPr>
      </w:pPr>
      <w:r>
        <w:rPr>
          <w:noProof/>
        </w:rPr>
        <w:t>Mjere u tom području trebale bi pridonijeti gospodarskoj diversifikaciji rura</w:t>
      </w:r>
      <w:r>
        <w:rPr>
          <w:noProof/>
        </w:rPr>
        <w:t>lnih područja u kontekstu zelene i digitalne transformacije društva i dovesti do jačanja lanaca vrijednosti u proizvodnji te u kulturnim i kreativnim industrijama. Relevantne mjere trebale bi biti dobro usklađene s regionalnim strategijama pametne specijal</w:t>
      </w:r>
      <w:r>
        <w:rPr>
          <w:noProof/>
        </w:rPr>
        <w:t xml:space="preserve">izacije i njima bi se trebalo osigurati da ruralne regije ostanu privlačne za ulaganja u industriju i druge gospodarske djelatnosti. </w:t>
      </w:r>
    </w:p>
    <w:p w:rsidR="00E25DD0" w:rsidRDefault="00216589">
      <w:pPr>
        <w:rPr>
          <w:noProof/>
        </w:rPr>
      </w:pPr>
      <w:r>
        <w:rPr>
          <w:noProof/>
        </w:rPr>
        <w:t>Trebalo bi podržati i diversifikaciju ruralnih područja u drugim sektorima osim prehrambenog i poljoprivrednog sektora. Si</w:t>
      </w:r>
      <w:r>
        <w:rPr>
          <w:noProof/>
        </w:rPr>
        <w:t>nergije između turizma</w:t>
      </w:r>
      <w:r>
        <w:rPr>
          <w:rStyle w:val="Referencafusnote"/>
          <w:noProof/>
          <w:lang w:val="en-US"/>
        </w:rPr>
        <w:footnoteReference w:id="49"/>
      </w:r>
      <w:r>
        <w:rPr>
          <w:noProof/>
        </w:rPr>
        <w:t>, promidžbe poljoprivrednih gospodarstava i prerade, uključujući promicanje oznaka zemljopisnog podrijetla, pridonijet će razvoju ruralnih područja. Time bi se mogla obuhvatiti komercijalizacija proizvoda s oznakom zemljopisnog podri</w:t>
      </w:r>
      <w:r>
        <w:rPr>
          <w:noProof/>
        </w:rPr>
        <w:t xml:space="preserve">jetla koje odražavaju snažnu povezanost proizvoda i njegova područja podrijetla. Koristi bi mogli imati i proizvodi proizvedeni na dobro upravljanim područjima mreže Natura 2000 čija je proizvodnja dokazano kompatibilna s očuvanjem prirode. </w:t>
      </w:r>
    </w:p>
    <w:p w:rsidR="00E25DD0" w:rsidRDefault="00216589">
      <w:pPr>
        <w:rPr>
          <w:bCs/>
          <w:noProof/>
          <w:szCs w:val="24"/>
        </w:rPr>
      </w:pPr>
      <w:r>
        <w:rPr>
          <w:noProof/>
        </w:rPr>
        <w:t>Regije će se p</w:t>
      </w:r>
      <w:r>
        <w:rPr>
          <w:noProof/>
        </w:rPr>
        <w:t>oduprijeti u razvoju strategija kojima se na najbolji način iskorištavaju njihove unutarnje prednosti, posebno u područjima povezanima sa zelenim planom te u proizvodnom, uslužnom i kreativnom sektoru, uz očuvanje samodostatnosti i održivosti proizvodnje h</w:t>
      </w:r>
      <w:r>
        <w:rPr>
          <w:noProof/>
        </w:rPr>
        <w:t>rane. Stoga su razvoj i tranzicija industrijskih i uslužnih sektora u ruralnim područjima od ključne važnosti, kao i lanci vrijednosti povezani sa sektorom sirovina i energetskim sektorom, ali se njima ne odvraća od poljoprivredne proizvodnje niti se zadir</w:t>
      </w:r>
      <w:r>
        <w:rPr>
          <w:noProof/>
        </w:rPr>
        <w:t xml:space="preserve">e u održivu upotrebu poljoprivrednog zemljišta. Proizvodni, energetski te kulturni i kreativni sektori usko su povezani s drugim sektorima u ruralnim područjima te podupiru rast produktivnosti i zapošljavanja u njima. </w:t>
      </w:r>
    </w:p>
    <w:p w:rsidR="00E25DD0" w:rsidRDefault="00216589">
      <w:pPr>
        <w:rPr>
          <w:noProof/>
          <w:szCs w:val="24"/>
        </w:rPr>
      </w:pPr>
      <w:r>
        <w:rPr>
          <w:noProof/>
        </w:rPr>
        <w:t>U Akcijskom planu za provedbu europsk</w:t>
      </w:r>
      <w:r>
        <w:rPr>
          <w:noProof/>
        </w:rPr>
        <w:t>og stupa socijalnih prava</w:t>
      </w:r>
      <w:r>
        <w:rPr>
          <w:rStyle w:val="Referencafusnote"/>
          <w:noProof/>
        </w:rPr>
        <w:footnoteReference w:id="50"/>
      </w:r>
      <w:r>
        <w:rPr>
          <w:noProof/>
        </w:rPr>
        <w:t xml:space="preserve"> utvrđen je cilj da do 2030. bude zaposleno 78 % stanovništva u dobi od 20 do 64 godine. Da bi se to postiglo, potrebno je osigurati sudjelovanje na tržištu rada osoba koje žive (među ostalim) u ruralnim područjima. U akcijskom pl</w:t>
      </w:r>
      <w:r>
        <w:rPr>
          <w:noProof/>
        </w:rPr>
        <w:t>anu dodatno je utvrđeno da bi do 2030. 60 % svih odraslih osoba trebalo sudjelovati u osposobljavanju svake godine. Sredstvima iz fonda ESF+ podupirat će se osposobljavanje stanovnika ruralnih područja kako bi im se osigurali alati potrebni za njihovu konk</w:t>
      </w:r>
      <w:r>
        <w:rPr>
          <w:noProof/>
        </w:rPr>
        <w:t xml:space="preserve">urentnost na tržištu rada koje se stalno mijenja. Inicijativama planiranima u okviru europskog prostora obrazovanja pridonijet će se </w:t>
      </w:r>
      <w:r>
        <w:rPr>
          <w:noProof/>
        </w:rPr>
        <w:lastRenderedPageBreak/>
        <w:t>poticanju kvalitete i uključivosti nacionalnih sustava obrazovanja i osposobljavanja, što će utjecati i na ruralna i udalje</w:t>
      </w:r>
      <w:r>
        <w:rPr>
          <w:noProof/>
        </w:rPr>
        <w:t xml:space="preserve">na područja. </w:t>
      </w:r>
    </w:p>
    <w:p w:rsidR="00E25DD0" w:rsidRDefault="00216589">
      <w:pPr>
        <w:rPr>
          <w:noProof/>
          <w:szCs w:val="24"/>
        </w:rPr>
      </w:pPr>
      <w:r>
        <w:rPr>
          <w:noProof/>
        </w:rPr>
        <w:t>Promicat će se sljedeća opsežna mjera:</w:t>
      </w:r>
    </w:p>
    <w:p w:rsidR="00E25DD0" w:rsidRDefault="00216589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Poduzetništvo i socijalna ekonomija u ruralnim područjima. </w:t>
      </w:r>
    </w:p>
    <w:p w:rsidR="00E25DD0" w:rsidRDefault="00216589">
      <w:pPr>
        <w:spacing w:after="120"/>
        <w:rPr>
          <w:noProof/>
          <w:szCs w:val="24"/>
        </w:rPr>
      </w:pPr>
      <w:r>
        <w:rPr>
          <w:noProof/>
        </w:rPr>
        <w:t>Komisija će poduzeti niz mjera, uključujući aktivnosti financiranja istraživanja i inovacija, pri čemu će posebnu pozornost posvetiti malim i srednjim poduzećima koja su već smještena ili će biti smještena u ruralnim područjima. Poduzetnicima i malim poduz</w:t>
      </w:r>
      <w:r>
        <w:rPr>
          <w:noProof/>
        </w:rPr>
        <w:t>ećima omogućit će se da se presele u ruralna područja i pridonesu njihovoj prilagodbi promjenjivom gospodarskom okruženju, stvorit će se prilike za inovativnu poslovnu praksu, suradnju i klastere te razviti novi gospodarski sektori. To će se djelomično pos</w:t>
      </w:r>
      <w:r>
        <w:rPr>
          <w:noProof/>
        </w:rPr>
        <w:t xml:space="preserve">tići financiranjem iz programa Obzor Europa i Komisijina programa jedinstvenog tržišta, koje će biti posebno usmjereno na potrebe malih i srednjih ruralnih poduzeća. </w:t>
      </w:r>
    </w:p>
    <w:p w:rsidR="00E25DD0" w:rsidRDefault="00216589">
      <w:pPr>
        <w:spacing w:after="120"/>
        <w:rPr>
          <w:noProof/>
          <w:szCs w:val="24"/>
        </w:rPr>
      </w:pPr>
      <w:r>
        <w:rPr>
          <w:noProof/>
        </w:rPr>
        <w:t>Organizacije socijalne ekonomije imaju znatan potencijal za povećanje privlačnosti područ</w:t>
      </w:r>
      <w:r>
        <w:rPr>
          <w:noProof/>
        </w:rPr>
        <w:t>ja za stanovanje i jačanje položaja građana i zajednica. U okviru europskog akcijskog plana za socijalnu ekonomiju i europske platforme za suradnju klastera pokušat će se odgovoriti na probleme i iskoristiti prilike promicanjem inovacija socijalne ekonomij</w:t>
      </w:r>
      <w:r>
        <w:rPr>
          <w:noProof/>
        </w:rPr>
        <w:t>e i socijalnih poduzeća te pružanjem pomoći u objedinjavanju poslovnih resursa u ruralnim područjima i u podupiranju dionika socijalne ekonomije u inovacijama, otvaranju kvalitetnih radnih mjesta i društvenoj uključenosti. Umrežavanje ruralnih poduzeća pob</w:t>
      </w:r>
      <w:r>
        <w:rPr>
          <w:noProof/>
        </w:rPr>
        <w:t>oljšat će se i putem Europske poduzetničke mreže, najveće europske mreže malih i srednjih poduzeća, i pozivima na međuregionalnu suradnju u okviru europskih misija socijalne ekonomije. Poseban naglasak stavit će se na kratke lance opskrbe poljoprivredno-pr</w:t>
      </w:r>
      <w:r>
        <w:rPr>
          <w:noProof/>
        </w:rPr>
        <w:t>ehrambenim proizvodima, čime će se proizvođače izravno povezati s potrošačima.</w:t>
      </w:r>
    </w:p>
    <w:p w:rsidR="00E25DD0" w:rsidRDefault="00216589">
      <w:pPr>
        <w:rPr>
          <w:noProof/>
        </w:rPr>
      </w:pPr>
      <w:r>
        <w:rPr>
          <w:noProof/>
        </w:rPr>
        <w:t>Vodeća inicijativa dopunit će se mjerama kojima se, među ostalim, razvijaju mogućnosti zapošljavanja i učenja za mlade te održivi razvoj biogospodarstva.</w:t>
      </w:r>
    </w:p>
    <w:p w:rsidR="00E25DD0" w:rsidRDefault="00E25DD0">
      <w:pPr>
        <w:rPr>
          <w:noProof/>
        </w:rPr>
      </w:pPr>
    </w:p>
    <w:p w:rsidR="00E25DD0" w:rsidRDefault="00E25DD0">
      <w:pPr>
        <w:rPr>
          <w:noProof/>
        </w:rPr>
      </w:pPr>
    </w:p>
    <w:p w:rsidR="00E25DD0" w:rsidRDefault="00E25DD0">
      <w:pPr>
        <w:jc w:val="center"/>
        <w:rPr>
          <w:noProof/>
        </w:rPr>
      </w:pPr>
    </w:p>
    <w:p w:rsidR="00E25DD0" w:rsidRDefault="00216589">
      <w:pPr>
        <w:rPr>
          <w:noProof/>
          <w:szCs w:val="24"/>
        </w:rPr>
      </w:pPr>
      <w:r>
        <w:rPr>
          <w:noProof/>
        </w:rPr>
        <w:br w:type="page"/>
      </w:r>
    </w:p>
    <w:p w:rsidR="00E25DD0" w:rsidRDefault="00216589">
      <w:pPr>
        <w:pStyle w:val="Naslov1"/>
        <w:numPr>
          <w:ilvl w:val="0"/>
          <w:numId w:val="10"/>
        </w:numPr>
        <w:rPr>
          <w:noProof/>
        </w:rPr>
      </w:pPr>
      <w:r>
        <w:rPr>
          <w:noProof/>
        </w:rPr>
        <w:lastRenderedPageBreak/>
        <w:t>Provedba akcijskog</w:t>
      </w:r>
      <w:r>
        <w:rPr>
          <w:noProof/>
        </w:rPr>
        <w:t xml:space="preserve"> plana EU-a za ruralna područja</w:t>
      </w:r>
    </w:p>
    <w:p w:rsidR="00E25DD0" w:rsidRDefault="00216589">
      <w:pPr>
        <w:rPr>
          <w:noProof/>
        </w:rPr>
      </w:pPr>
      <w:r>
        <w:rPr>
          <w:noProof/>
        </w:rPr>
        <w:t>Komisija će podupirati i pratiti provedbu akcijskog plana EU-a za ruralna područja te ga redovito ažurirati kako bi osigurala njegovu relevantnost i uzela u obzir nove mjere politike EU-a. Redovito će surađivati s državama č</w:t>
      </w:r>
      <w:r>
        <w:rPr>
          <w:noProof/>
        </w:rPr>
        <w:t>lanicama, dionicima, tijelima i institucijama kako bi osigurala platformu za razmjenu informacija o ruralnim pitanjima. Predviđa se da će postojeće ruralne mreže na razini EU-a i na nacionalnoj razini, mreže kohezijske politike, mreža Inform EU i buduće mr</w:t>
      </w:r>
      <w:r>
        <w:rPr>
          <w:noProof/>
        </w:rPr>
        <w:t>eže ZPP-a imati aktivnu ulogu u uključivanju dionika, razmjeni primjera dobre prakse i poduzimanju daljnjih mjera u širokom rasponu predloženih tema i mjera.</w:t>
      </w:r>
    </w:p>
    <w:p w:rsidR="00E25DD0" w:rsidRDefault="00216589">
      <w:pPr>
        <w:pStyle w:val="Naslov2"/>
        <w:numPr>
          <w:ilvl w:val="1"/>
          <w:numId w:val="10"/>
        </w:numPr>
        <w:rPr>
          <w:noProof/>
        </w:rPr>
      </w:pPr>
      <w:r>
        <w:rPr>
          <w:noProof/>
        </w:rPr>
        <w:t xml:space="preserve"> Procjena učinka na ruralna područja</w:t>
      </w:r>
    </w:p>
    <w:p w:rsidR="00E25DD0" w:rsidRDefault="00216589">
      <w:pPr>
        <w:rPr>
          <w:noProof/>
        </w:rPr>
      </w:pPr>
      <w:r>
        <w:rPr>
          <w:noProof/>
        </w:rPr>
        <w:t>S obzirom na višedimenzionalnu prirodu ruralnog razvoja i čin</w:t>
      </w:r>
      <w:r>
        <w:rPr>
          <w:noProof/>
        </w:rPr>
        <w:t>jenicu da je cilj Ugovorâ gospodarska, socijalna i teritorijalna kohezija, postoji potreba za preispitivanjem politika EU-a iz ruralne perspektive, uzimajući u obzir potencijalne učinke i posljedice politika na radna mjesta i rast u ruralnim područjima, na</w:t>
      </w:r>
      <w:r>
        <w:rPr>
          <w:noProof/>
        </w:rPr>
        <w:t xml:space="preserve"> mogućnosti razvoja, socijalnu dobrobit i jednake mogućnosti za sve te na kvalitetu okoliša ruralnih područja.</w:t>
      </w:r>
    </w:p>
    <w:p w:rsidR="00E25DD0" w:rsidRDefault="00216589">
      <w:pPr>
        <w:rPr>
          <w:noProof/>
        </w:rPr>
      </w:pPr>
      <w:r>
        <w:rPr>
          <w:noProof/>
        </w:rPr>
        <w:t>U okviru agende za bolju regulativu uspostavit će se mehanizam za procjenu učinka na ruralna područja, osobito kako bi se procijenio očekivani uč</w:t>
      </w:r>
      <w:r>
        <w:rPr>
          <w:noProof/>
        </w:rPr>
        <w:t xml:space="preserve">inak važnijih zakonodavnih inicijativa EU-a na ruralna područja. Njegova je svrha osigurati usklađenost, dosljednost i komplementarnost politika u korist ruralnih područja i zajednica. </w:t>
      </w:r>
      <w:r>
        <w:rPr>
          <w:noProof/>
          <w:color w:val="000000" w:themeColor="text1"/>
          <w:szCs w:val="24"/>
        </w:rPr>
        <w:t>Političke inicijative za procjenu učinka na ruralna područja povećat će</w:t>
      </w:r>
      <w:r>
        <w:rPr>
          <w:noProof/>
          <w:color w:val="000000" w:themeColor="text1"/>
          <w:szCs w:val="24"/>
        </w:rPr>
        <w:t xml:space="preserve"> njihov učinak u praksi. </w:t>
      </w:r>
      <w:r>
        <w:rPr>
          <w:noProof/>
        </w:rPr>
        <w:t>Uspostava takvog mehanizma preporučena je u Deklaraciji Cork 2.0 – „Bolji život u ruralnim područjima”</w:t>
      </w:r>
      <w:r>
        <w:rPr>
          <w:rStyle w:val="Referencafusnote"/>
          <w:noProof/>
        </w:rPr>
        <w:footnoteReference w:id="51"/>
      </w:r>
      <w:r>
        <w:rPr>
          <w:noProof/>
        </w:rPr>
        <w:t xml:space="preserve"> te potvrđena u Komunikaciji Komisije o budućnosti hrane i poljoprivrede iz 2017.</w:t>
      </w:r>
      <w:r>
        <w:rPr>
          <w:rStyle w:val="Referencafusnote"/>
          <w:noProof/>
        </w:rPr>
        <w:footnoteReference w:id="52"/>
      </w:r>
      <w:r>
        <w:rPr>
          <w:noProof/>
        </w:rPr>
        <w:t xml:space="preserve"> i nedavno donesenoj Komunikaciji o boljoj reg</w:t>
      </w:r>
      <w:r>
        <w:rPr>
          <w:noProof/>
        </w:rPr>
        <w:t>ulativi</w:t>
      </w:r>
      <w:r>
        <w:rPr>
          <w:rStyle w:val="Referencafusnote"/>
          <w:noProof/>
        </w:rPr>
        <w:footnoteReference w:id="53"/>
      </w:r>
      <w:r>
        <w:rPr>
          <w:noProof/>
        </w:rPr>
        <w:t>, a njezinu su važnost u okviru savjetovanja istaknule lokalne i regionalne vlasti i ruralni dionici. Temeljit će se, među ostalim, na procjenama teritorijalnog učinka i boljem praćenju stanja u ruralnim područjima. Pratit će se način na koji se ru</w:t>
      </w:r>
      <w:r>
        <w:rPr>
          <w:noProof/>
        </w:rPr>
        <w:t>ralna područja uključuju u politike EU-a, posebno redovitim izvješćivanjem o provedbi relevantnih politika.</w:t>
      </w:r>
    </w:p>
    <w:p w:rsidR="00E25DD0" w:rsidRDefault="00216589">
      <w:pPr>
        <w:rPr>
          <w:b/>
          <w:noProof/>
        </w:rPr>
      </w:pPr>
      <w:r>
        <w:rPr>
          <w:b/>
          <w:noProof/>
        </w:rPr>
        <w:t>Komisija isto tako poziva države članice da razmotre provedbu načela procjene učinka na ruralna područja na nacionalnoj, regionalnoj i lokalnoj razi</w:t>
      </w:r>
      <w:r>
        <w:rPr>
          <w:b/>
          <w:noProof/>
        </w:rPr>
        <w:t>ni.</w:t>
      </w:r>
    </w:p>
    <w:p w:rsidR="00E25DD0" w:rsidRDefault="00216589">
      <w:pPr>
        <w:pStyle w:val="Naslov2"/>
        <w:numPr>
          <w:ilvl w:val="1"/>
          <w:numId w:val="10"/>
        </w:numPr>
        <w:rPr>
          <w:noProof/>
        </w:rPr>
      </w:pPr>
      <w:r>
        <w:rPr>
          <w:noProof/>
        </w:rPr>
        <w:t>Opservatorij EU-a za ruralna područja</w:t>
      </w:r>
    </w:p>
    <w:p w:rsidR="00E25DD0" w:rsidRDefault="00216589">
      <w:pPr>
        <w:rPr>
          <w:noProof/>
          <w:szCs w:val="24"/>
        </w:rPr>
      </w:pPr>
      <w:r>
        <w:rPr>
          <w:noProof/>
        </w:rPr>
        <w:t xml:space="preserve">Za razumijevanje ruralne dimenzije gospodarskih, socijalnih i demografskih uvjeta i za djelovanje u skladu s njima ključna je veća količina kvalitetnijih podataka. U okviru Komisije uspostavit će se </w:t>
      </w:r>
      <w:r>
        <w:rPr>
          <w:b/>
          <w:noProof/>
        </w:rPr>
        <w:t>opservatorij za</w:t>
      </w:r>
      <w:r>
        <w:rPr>
          <w:b/>
          <w:noProof/>
        </w:rPr>
        <w:t xml:space="preserve"> ruralna područja</w:t>
      </w:r>
      <w:r>
        <w:rPr>
          <w:noProof/>
        </w:rPr>
        <w:t xml:space="preserve"> kako bi se dodatno poboljšalo prikupljanje podataka o ruralnim područjima i njihova analiza. Opservatorij će također pružati dokaze na temelju kojih će se donositi politike povezane s ruralnim razvojem i podupirat će cjelokupnu provedbu a</w:t>
      </w:r>
      <w:r>
        <w:rPr>
          <w:noProof/>
        </w:rPr>
        <w:t xml:space="preserve">kcijskog plana za ruralna područja. Bit će zadužen za: </w:t>
      </w:r>
    </w:p>
    <w:p w:rsidR="00E25DD0" w:rsidRDefault="00216589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centralizaciju i analizu podataka te osiguranje povezivanja izvora podataka putem portala za podatke o ruralnim područjima, Ovisno o dostupnosti, upotrebljavat će se podaci razvrstani prema spolu. </w:t>
      </w:r>
    </w:p>
    <w:p w:rsidR="00E25DD0" w:rsidRDefault="00216589">
      <w:pPr>
        <w:pStyle w:val="Odlomakpopisa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in</w:t>
      </w:r>
      <w:r>
        <w:rPr>
          <w:rFonts w:ascii="Times New Roman" w:hAnsi="Times New Roman"/>
          <w:noProof/>
          <w:sz w:val="24"/>
          <w:szCs w:val="24"/>
        </w:rPr>
        <w:t>formiranje o relevantnim inicijativama EU-a za ruralna područja,</w:t>
      </w:r>
    </w:p>
    <w:p w:rsidR="00E25DD0" w:rsidRDefault="00216589">
      <w:pPr>
        <w:pStyle w:val="Odlomakpopisa"/>
        <w:numPr>
          <w:ilvl w:val="0"/>
          <w:numId w:val="4"/>
        </w:numPr>
        <w:spacing w:after="240"/>
        <w:ind w:left="714" w:hanging="357"/>
        <w:rPr>
          <w:noProof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analize postignuća u okviru akcijskog plana EU-a za ruralna područja.</w:t>
      </w:r>
    </w:p>
    <w:p w:rsidR="00E25DD0" w:rsidRDefault="00216589">
      <w:pPr>
        <w:rPr>
          <w:noProof/>
        </w:rPr>
      </w:pPr>
      <w:r>
        <w:rPr>
          <w:noProof/>
        </w:rPr>
        <w:t>Iako će rad opservatorija biti usmjeren na ruralna područja, on će sam po sebi pridonositi analizi raznovrsnih područja (</w:t>
      </w:r>
      <w:r>
        <w:rPr>
          <w:noProof/>
        </w:rPr>
        <w:t>prekogranična područja, najudaljenije regije, planinska područja, otoci, rijetko naseljena područja itd.) kako bi se uzele u obzir razne dimenzije ruralnih područja i njihove veze s drugim područjima. U tom će pogledu raditi u sinergiji s Eurostatom, Centr</w:t>
      </w:r>
      <w:r>
        <w:rPr>
          <w:noProof/>
        </w:rPr>
        <w:t>om znanja za teritorijalne politike Zajedničkog istraživačkog centra</w:t>
      </w:r>
      <w:r>
        <w:rPr>
          <w:rStyle w:val="Referencafusnote"/>
          <w:noProof/>
        </w:rPr>
        <w:footnoteReference w:id="54"/>
      </w:r>
      <w:r>
        <w:rPr>
          <w:noProof/>
        </w:rPr>
        <w:t xml:space="preserve"> i Europskom mrežom za opservaciju prostornog planiranja (ESPON)</w:t>
      </w:r>
      <w:r>
        <w:rPr>
          <w:rStyle w:val="Referencafusnote"/>
          <w:noProof/>
        </w:rPr>
        <w:footnoteReference w:id="55"/>
      </w:r>
      <w:r>
        <w:rPr>
          <w:noProof/>
        </w:rPr>
        <w:t>. Radu opservatorija za ruralna područja pridonosit će i pojačano prikupljanje dokaza u okviru istraživačkih i inovacijski</w:t>
      </w:r>
      <w:r>
        <w:rPr>
          <w:noProof/>
        </w:rPr>
        <w:t>h aktivnosti usmjerenih na ruralna područja koje se financiraju u okviru programa Obzor Europa.</w:t>
      </w:r>
    </w:p>
    <w:p w:rsidR="00E25DD0" w:rsidRDefault="00216589">
      <w:pPr>
        <w:rPr>
          <w:noProof/>
        </w:rPr>
      </w:pPr>
      <w:r>
        <w:rPr>
          <w:noProof/>
        </w:rPr>
        <w:t>U tom kontekstu Komisija će uspostaviti zajednički pristup za upotrebu geoprostornih informacijskih sustava. Time će se osigurati češća objava georeferenciranih</w:t>
      </w:r>
      <w:r>
        <w:rPr>
          <w:noProof/>
        </w:rPr>
        <w:t xml:space="preserve"> statističkih podataka, a geoprostorne informacije bit će uključene u izradu statistika. Komisija će zahvaljujući tomu moći izraditi detaljniju statistiku na regionalnoj, lokalnoj i prekograničnoj razini u područjima kao što su demografija, zdravstvo, obra</w:t>
      </w:r>
      <w:r>
        <w:rPr>
          <w:noProof/>
        </w:rPr>
        <w:t xml:space="preserve">zovanje, turizam i poljoprivreda. </w:t>
      </w:r>
    </w:p>
    <w:p w:rsidR="00E25DD0" w:rsidRDefault="00216589">
      <w:pPr>
        <w:pStyle w:val="Naslov2"/>
        <w:numPr>
          <w:ilvl w:val="1"/>
          <w:numId w:val="10"/>
        </w:numPr>
        <w:rPr>
          <w:noProof/>
        </w:rPr>
      </w:pPr>
      <w:r>
        <w:rPr>
          <w:noProof/>
        </w:rPr>
        <w:t>Priručnik o mogućnostima financiranja sredstvima EU-a za ruralna područja</w:t>
      </w:r>
    </w:p>
    <w:p w:rsidR="00E25DD0" w:rsidRDefault="00216589">
      <w:pPr>
        <w:rPr>
          <w:rFonts w:eastAsia="Verdana"/>
          <w:noProof/>
        </w:rPr>
      </w:pPr>
      <w:r>
        <w:rPr>
          <w:noProof/>
        </w:rPr>
        <w:t>Kako bi se postigli ciljevi vizije, potrebno je poboljšati i dodatno ojačati postojeću političku potporu EU-a. Prvi će korak biti poboljšanje siner</w:t>
      </w:r>
      <w:r>
        <w:rPr>
          <w:noProof/>
        </w:rPr>
        <w:t xml:space="preserve">gija i komplementarnosti među fondovima koji pridonose ruralnom razvoju. </w:t>
      </w:r>
    </w:p>
    <w:p w:rsidR="00E25DD0" w:rsidRDefault="00216589">
      <w:pPr>
        <w:rPr>
          <w:rFonts w:eastAsia="Verdana"/>
          <w:noProof/>
          <w:color w:val="000000" w:themeColor="text1"/>
        </w:rPr>
      </w:pPr>
      <w:r>
        <w:rPr>
          <w:noProof/>
        </w:rPr>
        <w:t>Komisija će izraditi</w:t>
      </w:r>
      <w:r>
        <w:rPr>
          <w:b/>
          <w:noProof/>
        </w:rPr>
        <w:t xml:space="preserve"> priručnik o pristupu mogućnostima financiranja sredstvima EU-a za ruralna područja</w:t>
      </w:r>
      <w:r>
        <w:rPr>
          <w:noProof/>
        </w:rPr>
        <w:t xml:space="preserve"> i osmisliti </w:t>
      </w:r>
      <w:r>
        <w:rPr>
          <w:b/>
          <w:noProof/>
        </w:rPr>
        <w:t>optimalnu kombinaciju tih mogućnosti</w:t>
      </w:r>
      <w:r>
        <w:rPr>
          <w:noProof/>
        </w:rPr>
        <w:t xml:space="preserve">. U njemu će se nastojati pružiti smjernice za razne mogućnosti financiranja i centralizirati informacije u jednom dokumentu koji će biti dostupan </w:t>
      </w:r>
      <w:r>
        <w:rPr>
          <w:noProof/>
          <w:color w:val="000000" w:themeColor="text1"/>
        </w:rPr>
        <w:t>lokalnim tijelima, dionicima, nositeljima projekata i upravljačkim tijelima</w:t>
      </w:r>
      <w:r>
        <w:rPr>
          <w:noProof/>
        </w:rPr>
        <w:t>.</w:t>
      </w:r>
      <w:r>
        <w:rPr>
          <w:noProof/>
          <w:color w:val="000000" w:themeColor="text1"/>
        </w:rPr>
        <w:t xml:space="preserve"> Taj priručnik pridonijet će inte</w:t>
      </w:r>
      <w:r>
        <w:rPr>
          <w:noProof/>
          <w:color w:val="000000" w:themeColor="text1"/>
        </w:rPr>
        <w:t>griranim strategijama teritorijalnog i lokalnog razvoja jer će u njemu biti navedena inspirativna rješenja i primjeri za ruralna područja kako bi se potaknula revitalizacija potpunim iskorištavanjem novih mogućnosti koje se nude u okviru novog proračuna za</w:t>
      </w:r>
      <w:r>
        <w:rPr>
          <w:noProof/>
          <w:color w:val="000000" w:themeColor="text1"/>
        </w:rPr>
        <w:t xml:space="preserve"> razdoblje 2021.–2027.</w:t>
      </w:r>
    </w:p>
    <w:p w:rsidR="00E25DD0" w:rsidRDefault="00216589">
      <w:pPr>
        <w:spacing w:after="200" w:line="276" w:lineRule="auto"/>
        <w:jc w:val="center"/>
        <w:rPr>
          <w:rFonts w:eastAsia="Verdana"/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  <w:lang w:eastAsia="hr-HR"/>
        </w:rPr>
        <w:lastRenderedPageBreak/>
        <w:drawing>
          <wp:inline distT="0" distB="0" distL="0" distR="0">
            <wp:extent cx="3706495" cy="2767965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DD0" w:rsidRDefault="00216589">
      <w:pPr>
        <w:pStyle w:val="Naslov1"/>
        <w:numPr>
          <w:ilvl w:val="0"/>
          <w:numId w:val="10"/>
        </w:numPr>
        <w:rPr>
          <w:noProof/>
        </w:rPr>
      </w:pPr>
      <w:r>
        <w:rPr>
          <w:noProof/>
        </w:rPr>
        <w:t>Daljnji koraci</w:t>
      </w:r>
    </w:p>
    <w:p w:rsidR="00E25DD0" w:rsidRDefault="00216589">
      <w:pPr>
        <w:rPr>
          <w:noProof/>
        </w:rPr>
      </w:pPr>
      <w:r>
        <w:rPr>
          <w:noProof/>
        </w:rPr>
        <w:t xml:space="preserve">Ova Komunikacija, kojom se doprinosi i radu Konferencije o budućnosti Europe, samo je prvi korak u procesu kojim bi se, u okviru </w:t>
      </w:r>
      <w:r>
        <w:rPr>
          <w:b/>
          <w:noProof/>
        </w:rPr>
        <w:t>pakta za ruralna područja</w:t>
      </w:r>
      <w:r>
        <w:rPr>
          <w:noProof/>
        </w:rPr>
        <w:t xml:space="preserve"> i aktualnog </w:t>
      </w:r>
      <w:r>
        <w:rPr>
          <w:b/>
          <w:noProof/>
        </w:rPr>
        <w:t>akcijskog plana EU-a za ruralna područja</w:t>
      </w:r>
      <w:r>
        <w:rPr>
          <w:noProof/>
        </w:rPr>
        <w:t>, u konač</w:t>
      </w:r>
      <w:r>
        <w:rPr>
          <w:noProof/>
        </w:rPr>
        <w:t>nici trebali ostvariti ciljevi dugoročne vizije za ruralna područja EU-a do 2040. Ciljevi vizije i prilagodba promjenjivoj gospodarskoj i društvenoj stvarnosti mogu se ostvariti samo u suradnji s građanima koji žive u ruralnim područjima, nacionalnim i reg</w:t>
      </w:r>
      <w:r>
        <w:rPr>
          <w:noProof/>
        </w:rPr>
        <w:t xml:space="preserve">ionalnim upravama, lokalnim vlastima i svim ruralnim dionicima. </w:t>
      </w:r>
    </w:p>
    <w:p w:rsidR="00E25DD0" w:rsidRDefault="00216589">
      <w:pPr>
        <w:rPr>
          <w:noProof/>
        </w:rPr>
      </w:pPr>
      <w:r>
        <w:rPr>
          <w:noProof/>
        </w:rPr>
        <w:t>Komisija će do kraja 2021. u suradnji s dionicima pokrenuti pakt za ruralna područja te se povezati s Odborom regija kako bi razmotrila načine za postizanje ciljeva vizije. U okviru tog postu</w:t>
      </w:r>
      <w:r>
        <w:rPr>
          <w:noProof/>
        </w:rPr>
        <w:t>pka organizirat će se posebna događanja na kojima će se raspravljati o ruralnim pitanjima, među ostalim u sklopu mreža u okviru ZPP-a i drugih postojećih mreža u okviru fondova kohezijske politike. Komisija će dodatno surađivati s Europskim ruralnim parlam</w:t>
      </w:r>
      <w:r>
        <w:rPr>
          <w:noProof/>
        </w:rPr>
        <w:t xml:space="preserve">entom, koji može djelovati kao forum za razmjenu mišljenja o provedbi vizije. </w:t>
      </w:r>
    </w:p>
    <w:p w:rsidR="00E25DD0" w:rsidRDefault="00216589">
      <w:pPr>
        <w:rPr>
          <w:noProof/>
        </w:rPr>
      </w:pPr>
      <w:r>
        <w:rPr>
          <w:noProof/>
        </w:rPr>
        <w:t>Komisija će do sredine 2023. ocijeniti koje su mjere provedene i programirane u programima potpore za ruralna područja koje financiraju EU i države članice u programskom razdobl</w:t>
      </w:r>
      <w:r>
        <w:rPr>
          <w:noProof/>
        </w:rPr>
        <w:t xml:space="preserve">ju 2021.–2027. za ZPP i fondove kohezijske politike, te će prema potrebi upozoriti na nedostatke. Do prvog tromjesečja 2024., na temelju provedbe akcijskog plana EU-a za ruralna područja, izradit će se javno izvješće u koje će se uključiti razmatranja o </w:t>
      </w:r>
      <w:r>
        <w:rPr>
          <w:b/>
          <w:bCs/>
          <w:noProof/>
        </w:rPr>
        <w:t>mo</w:t>
      </w:r>
      <w:r>
        <w:rPr>
          <w:b/>
          <w:bCs/>
          <w:noProof/>
        </w:rPr>
        <w:t>gućem smjeru pojačanog djelovanja potpore i financiranja za ruralna područja te o daljnjim koracima</w:t>
      </w:r>
      <w:r>
        <w:rPr>
          <w:noProof/>
        </w:rPr>
        <w:t>. Rasprave o izvješću pridonijet će promišljanju o pripremi prijedlogâ za programsko razdoblje 2028.–2034.</w:t>
      </w:r>
      <w:r>
        <w:rPr>
          <w:noProof/>
          <w:color w:val="1F497D"/>
        </w:rPr>
        <w:t xml:space="preserve"> </w:t>
      </w:r>
    </w:p>
    <w:p w:rsidR="00E25DD0" w:rsidRDefault="00216589">
      <w:pPr>
        <w:spacing w:after="200" w:line="276" w:lineRule="auto"/>
        <w:jc w:val="center"/>
        <w:rPr>
          <w:noProof/>
        </w:rPr>
      </w:pPr>
      <w:r>
        <w:rPr>
          <w:noProof/>
          <w:color w:val="1F497D"/>
          <w:lang w:eastAsia="hr-HR"/>
        </w:rPr>
        <w:lastRenderedPageBreak/>
        <w:drawing>
          <wp:inline distT="0" distB="0" distL="0" distR="0">
            <wp:extent cx="5472430" cy="4083685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DD0" w:rsidRDefault="00E25DD0">
      <w:pPr>
        <w:pStyle w:val="Naslov1"/>
        <w:tabs>
          <w:tab w:val="clear" w:pos="482"/>
        </w:tabs>
        <w:ind w:left="0" w:firstLine="0"/>
        <w:rPr>
          <w:noProof/>
        </w:rPr>
      </w:pPr>
    </w:p>
    <w:sectPr w:rsidR="00E25DD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020" w:right="1701" w:bottom="1020" w:left="1587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D0" w:rsidRDefault="00216589">
      <w:pPr>
        <w:spacing w:after="0"/>
      </w:pPr>
      <w:r>
        <w:separator/>
      </w:r>
    </w:p>
  </w:endnote>
  <w:endnote w:type="continuationSeparator" w:id="0">
    <w:p w:rsidR="00E25DD0" w:rsidRDefault="00216589">
      <w:pPr>
        <w:spacing w:after="0"/>
      </w:pPr>
      <w:r>
        <w:continuationSeparator/>
      </w:r>
    </w:p>
  </w:endnote>
  <w:endnote w:type="continuationNotice" w:id="1">
    <w:p w:rsidR="00E25DD0" w:rsidRDefault="00E25DD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D0" w:rsidRDefault="00E25DD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D0" w:rsidRDefault="00216589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D0" w:rsidRDefault="00E25DD0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D0" w:rsidRDefault="00216589"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D0" w:rsidRDefault="00216589">
    <w:pPr>
      <w:pStyle w:val="FooterLine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D0" w:rsidRDefault="00216589">
    <w:pPr>
      <w:pStyle w:val="Podnoje"/>
      <w:jc w:val="center"/>
      <w:rPr>
        <w:caps/>
        <w:color w:val="000000" w:themeColor="text1"/>
        <w:szCs w:val="16"/>
      </w:rPr>
    </w:pPr>
    <w:r>
      <w:rPr>
        <w:caps/>
        <w:color w:val="000000" w:themeColor="text1"/>
        <w:szCs w:val="16"/>
      </w:rPr>
      <w:fldChar w:fldCharType="begin"/>
    </w:r>
    <w:r>
      <w:rPr>
        <w:caps/>
        <w:color w:val="000000" w:themeColor="text1"/>
        <w:szCs w:val="16"/>
      </w:rPr>
      <w:instrText xml:space="preserve"> PAGE   \* MERGEFORMAT </w:instrText>
    </w:r>
    <w:r>
      <w:rPr>
        <w:caps/>
        <w:color w:val="000000" w:themeColor="text1"/>
        <w:szCs w:val="16"/>
      </w:rPr>
      <w:fldChar w:fldCharType="separate"/>
    </w:r>
    <w:r>
      <w:rPr>
        <w:caps/>
        <w:noProof/>
        <w:color w:val="000000" w:themeColor="text1"/>
        <w:szCs w:val="16"/>
      </w:rPr>
      <w:t>1</w:t>
    </w:r>
    <w:r>
      <w:rPr>
        <w:caps/>
        <w:color w:val="000000" w:themeColor="text1"/>
        <w:szCs w:val="16"/>
      </w:rPr>
      <w:fldChar w:fldCharType="end"/>
    </w:r>
  </w:p>
  <w:p w:rsidR="00E25DD0" w:rsidRDefault="00E25D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D0" w:rsidRDefault="00216589">
      <w:pPr>
        <w:spacing w:after="0"/>
      </w:pPr>
      <w:r>
        <w:separator/>
      </w:r>
    </w:p>
  </w:footnote>
  <w:footnote w:type="continuationSeparator" w:id="0">
    <w:p w:rsidR="00E25DD0" w:rsidRDefault="00216589">
      <w:pPr>
        <w:spacing w:after="0"/>
      </w:pPr>
      <w:r>
        <w:continuationSeparator/>
      </w:r>
    </w:p>
  </w:footnote>
  <w:footnote w:type="continuationNotice" w:id="1">
    <w:p w:rsidR="00E25DD0" w:rsidRDefault="00E25DD0">
      <w:pPr>
        <w:spacing w:after="0"/>
      </w:pPr>
    </w:p>
  </w:footnote>
  <w:footnote w:id="2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 xml:space="preserve">Prema modeliranju Zajedničkog istraživačkog centra na razini lokalnih administrativnih jedinica iz 2018. na temelju demografskih podataka Eurostata. Atlas demografije: </w:t>
      </w:r>
      <w:hyperlink r:id="rId1" w:history="1">
        <w:r>
          <w:rPr>
            <w:rStyle w:val="Hiperveza"/>
          </w:rPr>
          <w:t>https://migration-demography-tools.jrc.ec.europa.eu/atlas-demography/</w:t>
        </w:r>
      </w:hyperlink>
      <w:r>
        <w:t xml:space="preserve"> </w:t>
      </w:r>
    </w:p>
  </w:footnote>
  <w:footnote w:id="3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</w:r>
      <w:r>
        <w:rPr>
          <w:i/>
          <w:iCs/>
        </w:rPr>
        <w:t>Webinar</w:t>
      </w:r>
      <w:r>
        <w:t xml:space="preserve"> – Vizija za ruralnu Europu – Iskorištavanje potencijala ruralnih područja za doprinos održ</w:t>
      </w:r>
      <w:r>
        <w:t xml:space="preserve">ivoj i prosperitetnoj Europi. </w:t>
      </w:r>
    </w:p>
  </w:footnote>
  <w:footnote w:id="4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Vidjeti Izvješće Komisije o utjecaju demografskih promjena (COM(2020) 241 final) i Zelenu knjigu o starenju (COM(2021) 50 final).</w:t>
      </w:r>
    </w:p>
  </w:footnote>
  <w:footnote w:id="5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Za dodatne informacije vidjeti prateće sažeto izvješće o savjetovanju s dionicima (SWD(20</w:t>
      </w:r>
      <w:r>
        <w:t>21) 167 final).</w:t>
      </w:r>
    </w:p>
  </w:footnote>
  <w:footnote w:id="6">
    <w:p w:rsidR="00E25DD0" w:rsidRDefault="00216589">
      <w:pPr>
        <w:pStyle w:val="Tekstfusnote"/>
        <w:jc w:val="left"/>
      </w:pPr>
      <w:r>
        <w:rPr>
          <w:rStyle w:val="Referencafusnote"/>
        </w:rPr>
        <w:footnoteRef/>
      </w:r>
      <w:r>
        <w:t xml:space="preserve"> </w:t>
      </w:r>
      <w:r>
        <w:tab/>
        <w:t>Komunikacija o europskom zelenom planu (COM(2019) 640 final).</w:t>
      </w:r>
    </w:p>
  </w:footnote>
  <w:footnote w:id="7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</w:r>
      <w:hyperlink r:id="rId2" w:history="1">
        <w:r>
          <w:t>Komunikacija</w:t>
        </w:r>
      </w:hyperlink>
      <w:r>
        <w:t xml:space="preserve"> o strategiji „od polja do stola” (COM(2020) 381 final).</w:t>
      </w:r>
      <w:r>
        <w:t xml:space="preserve">  </w:t>
      </w:r>
    </w:p>
  </w:footnote>
  <w:footnote w:id="8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Komunikacija o strategiji EU-a za bioraznolikost do 2030. (COM(2020) 380 final).</w:t>
      </w:r>
    </w:p>
  </w:footnote>
  <w:footnote w:id="9">
    <w:p w:rsidR="00E25DD0" w:rsidRDefault="00216589">
      <w:pPr>
        <w:pStyle w:val="Tekstfusnote"/>
        <w:jc w:val="left"/>
      </w:pPr>
      <w:r>
        <w:rPr>
          <w:rStyle w:val="Referencafusnote"/>
        </w:rPr>
        <w:footnoteRef/>
      </w:r>
      <w:r>
        <w:t xml:space="preserve"> </w:t>
      </w:r>
      <w:r>
        <w:tab/>
      </w:r>
      <w:hyperlink r:id="rId3" w:history="1">
        <w:r>
          <w:rPr>
            <w:rStyle w:val="Hiperveza"/>
          </w:rPr>
          <w:t>https://ec.europa.eu/inf</w:t>
        </w:r>
        <w:r>
          <w:rPr>
            <w:rStyle w:val="Hiperveza"/>
          </w:rPr>
          <w:t>o/strategy/priorities-2019-2024/europe-fit-digital-age/europes-digital-decade-digital-targets-2030_hr</w:t>
        </w:r>
      </w:hyperlink>
      <w:r>
        <w:t xml:space="preserve"> </w:t>
      </w:r>
    </w:p>
  </w:footnote>
  <w:footnote w:id="10">
    <w:p w:rsidR="00E25DD0" w:rsidRDefault="00216589">
      <w:pPr>
        <w:pStyle w:val="Tekstfusnote"/>
        <w:jc w:val="left"/>
      </w:pPr>
      <w:r>
        <w:rPr>
          <w:rStyle w:val="Referencafusnote"/>
        </w:rPr>
        <w:footnoteRef/>
      </w:r>
      <w:r>
        <w:t xml:space="preserve"> </w:t>
      </w:r>
      <w:r>
        <w:tab/>
      </w:r>
      <w:hyperlink r:id="rId4" w:history="1">
        <w:r>
          <w:rPr>
            <w:rStyle w:val="Hiperveza"/>
          </w:rPr>
          <w:t>https://ec.europa.eu/info/strategy/priorities-2019-2024/economy-works-people/jobs-growth-and-investment/european-pillar-social-rights_hr</w:t>
        </w:r>
      </w:hyperlink>
      <w:r>
        <w:t xml:space="preserve"> </w:t>
      </w:r>
    </w:p>
  </w:footnote>
  <w:footnote w:id="11">
    <w:p w:rsidR="00E25DD0" w:rsidRDefault="00216589">
      <w:pPr>
        <w:pStyle w:val="Tekstfusnote"/>
        <w:jc w:val="left"/>
      </w:pPr>
      <w:r>
        <w:rPr>
          <w:rStyle w:val="Referencafusnote"/>
        </w:rPr>
        <w:footnoteRef/>
      </w:r>
      <w:hyperlink r:id="rId5" w:history="1">
        <w:r>
          <w:rPr>
            <w:rStyle w:val="Hiperveza"/>
          </w:rPr>
          <w:t>https://www.territorialagenda.eu/files/agenda_theme/agenda_data/Territorial%20Agenda%20documents/TerritorialAgenda2030_201201.pdf</w:t>
        </w:r>
      </w:hyperlink>
      <w:r>
        <w:t xml:space="preserve"> </w:t>
      </w:r>
    </w:p>
  </w:footnote>
  <w:footnote w:id="12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ab/>
        <w:t>Za dodatne dokaze vidjeti i radni dokument službi (SWD(2021) 166 final) koji je priložen ov</w:t>
      </w:r>
      <w:r>
        <w:t xml:space="preserve">oj Komunikaciji. </w:t>
      </w:r>
    </w:p>
  </w:footnote>
  <w:footnote w:id="13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ab/>
        <w:t>U raznim skupovima podataka primjenjuju se razne definicije pojma „ruralni”. U ovom je poglavlju najvažnija razlika između podataka o stupnju urbanizacije (DEGURBA) (u kojima se upućuje na „veće gradove, manje gradove i predgrađa te rur</w:t>
      </w:r>
      <w:r>
        <w:t>alna područja”) i urbano-ruralne tipologije na određenoj razini NUTS-a (u kojoj se upućuje na „urbane, mješovite i ruralne regije”). Za više informacija vidjeti poglavlje o metodologiji pratećeg radnog dokumenta službi.</w:t>
      </w:r>
    </w:p>
  </w:footnote>
  <w:footnote w:id="14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To znači da je broj umrlih premaš</w:t>
      </w:r>
      <w:r>
        <w:t xml:space="preserve">io broj rođenih. </w:t>
      </w:r>
    </w:p>
  </w:footnote>
  <w:footnote w:id="15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Na temelju prosječnih godišnjih stopa promjene od 2014. do 2019.</w:t>
      </w:r>
    </w:p>
  </w:footnote>
  <w:footnote w:id="16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</w:r>
      <w:r>
        <w:t xml:space="preserve">Stope nezaposlenosti mladih više su od opće stope nezaposlenosti u cijelom EU-u i na svim vrstama područja. Vidjeti prateći radni dokument službi (SWD(2021) 166 final) str. 58.–59. i Sliku 11.) i </w:t>
      </w:r>
      <w:hyperlink r:id="rId6" w:history="1">
        <w:r>
          <w:rPr>
            <w:rStyle w:val="Hiperveza"/>
          </w:rPr>
          <w:t>sliku Udio osoba izloženih riziku od siromaštva ili socijalne isključenosti, analiziran prema stupnju urbanizacije</w:t>
        </w:r>
        <w:r>
          <w:rPr>
            <w:rStyle w:val="Hiperveza"/>
          </w:rPr>
          <w:t>, 2019. (u %) LCIE20.png – Statistics Explained (europa.eu)</w:t>
        </w:r>
      </w:hyperlink>
      <w:r>
        <w:t>.</w:t>
      </w:r>
    </w:p>
  </w:footnote>
  <w:footnote w:id="17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Udio ukupnog stanovništva u ovom kontekstu uključuje osobe raznih dobnih skupina.</w:t>
      </w:r>
    </w:p>
  </w:footnote>
  <w:footnote w:id="18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Pravo na pristup tim uslugama, a posebno potreba za pružanjem potpore osobama kojima je potrebna pomoć, sad</w:t>
      </w:r>
      <w:r>
        <w:t>ržani su u 20. načelu europskog stupa socijalnih prava.</w:t>
      </w:r>
    </w:p>
  </w:footnote>
  <w:footnote w:id="19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 xml:space="preserve">Ukupan broj osoba u radijusu od 120 km. </w:t>
      </w:r>
    </w:p>
  </w:footnote>
  <w:footnote w:id="20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To uključuje, među ostalim, trgovinu na malo, osnovnu školu, ljekarnu i banku.</w:t>
      </w:r>
    </w:p>
  </w:footnote>
  <w:footnote w:id="21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 xml:space="preserve">OECD, </w:t>
      </w:r>
      <w:r>
        <w:rPr>
          <w:i/>
        </w:rPr>
        <w:t xml:space="preserve">Delivering Quality Education and Health Care to All: Preparing </w:t>
      </w:r>
      <w:r>
        <w:rPr>
          <w:i/>
        </w:rPr>
        <w:t>Regions for Demographic Change</w:t>
      </w:r>
      <w:r>
        <w:t xml:space="preserve"> (Kvalitetno obrazovanje i zdravstvena skrb za sve: priprema regija za demografsku promjenu), OECD Rural Studies, OECD Publishing, Pariz, 2021. </w:t>
      </w:r>
      <w:hyperlink r:id="rId7" w:history="1">
        <w:r>
          <w:rPr>
            <w:rStyle w:val="Hiperveza"/>
          </w:rPr>
          <w:t>https://doi.org/10.1787/83025c</w:t>
        </w:r>
        <w:r>
          <w:rPr>
            <w:rStyle w:val="Hiperveza"/>
          </w:rPr>
          <w:t>02-en</w:t>
        </w:r>
      </w:hyperlink>
      <w:r>
        <w:t xml:space="preserve"> </w:t>
      </w:r>
    </w:p>
  </w:footnote>
  <w:footnote w:id="22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 xml:space="preserve">Maes J. et al., </w:t>
      </w:r>
      <w:r>
        <w:rPr>
          <w:i/>
        </w:rPr>
        <w:t>More green infrastructure is required to maintain ecosystem services under current trends in land-use change in Europe</w:t>
      </w:r>
      <w:r>
        <w:t xml:space="preserve"> (Više zelene infrastrukture potrebno je za održavanje usluga ekosustava s obzirom na aktualna kretanja u prenam</w:t>
      </w:r>
      <w:r>
        <w:t>jeni zemljišta u Europi), Landsc Ecol 30:517.–534., 2015.</w:t>
      </w:r>
    </w:p>
  </w:footnote>
  <w:footnote w:id="23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</w:r>
      <w:hyperlink r:id="rId8" w:history="1">
        <w:r>
          <w:rPr>
            <w:rStyle w:val="Hiperveza"/>
          </w:rPr>
          <w:t>https://ec.europa.eu/info/strategy/priorities-2019-2024/european-green-deal_hr</w:t>
        </w:r>
      </w:hyperlink>
    </w:p>
  </w:footnote>
  <w:footnote w:id="24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</w:r>
      <w:hyperlink r:id="rId9" w:history="1">
        <w:r>
          <w:rPr>
            <w:rStyle w:val="Hiperveza"/>
          </w:rPr>
          <w:t>https://s3platform.jrc.ec.europa.eu/what-is-smart-specialisation-</w:t>
        </w:r>
      </w:hyperlink>
    </w:p>
  </w:footnote>
  <w:footnote w:id="25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 xml:space="preserve">Ronzon, T. et al., </w:t>
      </w:r>
      <w:r>
        <w:rPr>
          <w:i/>
        </w:rPr>
        <w:t>Developments of Economic Growth and Employment in Bioeconomy Sectors across the EU</w:t>
      </w:r>
      <w:r>
        <w:t xml:space="preserve"> (Kretanja gospodarsko</w:t>
      </w:r>
      <w:r>
        <w:t xml:space="preserve">g rasta i zapošljavanja u biogospodarskim sektorima u cijelom EU-u), Sustainability 12, br. 11:4507, 2020. </w:t>
      </w:r>
      <w:hyperlink r:id="rId10" w:history="1">
        <w:r>
          <w:rPr>
            <w:rStyle w:val="Hiperveza"/>
          </w:rPr>
          <w:t>https://doi.org/10.3390/su12114507</w:t>
        </w:r>
      </w:hyperlink>
    </w:p>
  </w:footnote>
  <w:footnote w:id="26">
    <w:p w:rsidR="00E25DD0" w:rsidRDefault="00216589">
      <w:pPr>
        <w:pStyle w:val="Tekstfusnote"/>
        <w:jc w:val="left"/>
      </w:pPr>
      <w:r>
        <w:rPr>
          <w:rStyle w:val="Referencafusnote"/>
        </w:rPr>
        <w:footnoteRef/>
      </w:r>
      <w:r>
        <w:t xml:space="preserve"> </w:t>
      </w:r>
      <w:r>
        <w:tab/>
      </w:r>
      <w:hyperlink r:id="rId11" w:history="1">
        <w:r>
          <w:rPr>
            <w:rStyle w:val="Hiperveza"/>
          </w:rPr>
          <w:t>https://ec.europa.eu/commission/commissioners/2019-2024/suica/announcements/launch-global-eu-campaign-rural-50-strategy_en</w:t>
        </w:r>
      </w:hyperlink>
      <w:r>
        <w:t xml:space="preserve"> </w:t>
      </w:r>
    </w:p>
  </w:footnote>
  <w:footnote w:id="27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Komunikacija o akcijskom planu za razvoj ekološkog</w:t>
      </w:r>
      <w:r>
        <w:t xml:space="preserve"> sektora (COM(2021) 141 final).</w:t>
      </w:r>
    </w:p>
  </w:footnote>
  <w:footnote w:id="28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Na temelju participativnih pristupa s tematskom skupinom Europske mreže za ruralni razvoj (EMRR), vidjeti portal EMRR-a i radni dokument službi (SWD(2021) 166 final) priložen ovoj Komunikaciji.</w:t>
      </w:r>
    </w:p>
  </w:footnote>
  <w:footnote w:id="29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Predviđanje je disciplin</w:t>
      </w:r>
      <w:r>
        <w:t>a koja se bavi razmatranjem, predviđanjem i oblikovanjem budućnosti, pridonosi razvoju kolektivne inteligencije i njezinoj strukturiranoj i sustavnoj primjeni u svrhu predviđanja promjena i bolje pripreme za njih.</w:t>
      </w:r>
    </w:p>
  </w:footnote>
  <w:footnote w:id="30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ab/>
        <w:t>Megatrendovi se definiraju kao dugoročne</w:t>
      </w:r>
      <w:r>
        <w:t xml:space="preserve"> pokretačke sile koje su trenutačno vidljive i koje će najvjerojatnije imati globalni učinak. Više informacija dostupno je na internetskoj stranici Europske komisije </w:t>
      </w:r>
      <w:r>
        <w:rPr>
          <w:i/>
        </w:rPr>
        <w:t>Megatrends Hub</w:t>
      </w:r>
      <w:r>
        <w:t xml:space="preserve"> (pregled megatrendova).</w:t>
      </w:r>
    </w:p>
  </w:footnote>
  <w:footnote w:id="31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Dodatna objašnjenja mogu se pronaći u odjeljku o</w:t>
      </w:r>
      <w:r>
        <w:t xml:space="preserve"> predviđanjima u radnom dokumentu službi SWD(2021) 166 final. </w:t>
      </w:r>
    </w:p>
  </w:footnote>
  <w:footnote w:id="32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20. načelo akcijskog plana – Europski stup socijalnih prava: </w:t>
      </w:r>
      <w:hyperlink r:id="rId12" w:history="1">
        <w:r>
          <w:rPr>
            <w:rStyle w:val="Hiperveza"/>
          </w:rPr>
          <w:t>https://ec.europa.eu/info/strategy/priorities-2019-2024/economy-works-people/jobs-growth-and-investment/european-pillar-social-rights/european-pillar-social-rights-20-principles_hr</w:t>
        </w:r>
      </w:hyperlink>
      <w:r>
        <w:t xml:space="preserve"> </w:t>
      </w:r>
    </w:p>
  </w:footnote>
  <w:footnote w:id="33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To u</w:t>
      </w:r>
      <w:r>
        <w:t xml:space="preserve">ključuje osiguravanje pristupačnosti javnog prijevoza i infrastrukture u skladu s </w:t>
      </w:r>
      <w:hyperlink r:id="rId13" w:anchor="Fulltext" w:history="1">
        <w:r>
          <w:rPr>
            <w:rStyle w:val="Hiperveza"/>
          </w:rPr>
          <w:t>Konvencijom Ujedinjenih naroda o pra</w:t>
        </w:r>
        <w:r>
          <w:rPr>
            <w:rStyle w:val="Hiperveza"/>
          </w:rPr>
          <w:t>vima osoba s invaliditetom</w:t>
        </w:r>
      </w:hyperlink>
      <w:r>
        <w:t xml:space="preserve">. </w:t>
      </w:r>
    </w:p>
  </w:footnote>
  <w:footnote w:id="34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Komunikacija „Izvješće o strateškim predviđanjima 2020. – Put prema otpornijoj Europi” (COM(2020) 493 final).</w:t>
      </w:r>
    </w:p>
  </w:footnote>
  <w:footnote w:id="35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 xml:space="preserve">Vidjeti Komunikaciju o akcijskom planu za razvoj ekološkog sektora (COM(2021) 141 final). </w:t>
      </w:r>
    </w:p>
  </w:footnote>
  <w:footnote w:id="36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Fritsche U. et al</w:t>
      </w:r>
      <w:r>
        <w:t xml:space="preserve">., </w:t>
      </w:r>
      <w:r>
        <w:rPr>
          <w:i/>
        </w:rPr>
        <w:t>Future transitions for the Bioeconomy towards Sustainable Development and a Climate-Neutral Economy</w:t>
      </w:r>
      <w:r>
        <w:t xml:space="preserve"> </w:t>
      </w:r>
      <w:r>
        <w:rPr>
          <w:i/>
        </w:rPr>
        <w:t>- Knowledge Synthesis Final Report</w:t>
      </w:r>
      <w:r>
        <w:t xml:space="preserve"> (Buduće tranzicije za biogospodarstvo radi ostvarivanja održivog razvoja i klimatski neutralnog gospodarstva – sinteza znanja, završno izvješće), Ured za publikacije Europske unije, Luxembourg, 2020. </w:t>
      </w:r>
      <w:hyperlink r:id="rId14" w:history="1">
        <w:r>
          <w:rPr>
            <w:rStyle w:val="Hiperveza"/>
          </w:rPr>
          <w:t>https://op.europa.eu/en/publication-detail/-/publication/54a1e679-f634-11ea-991b-01aa75ed71a1/language-en</w:t>
        </w:r>
      </w:hyperlink>
      <w:r>
        <w:t xml:space="preserve"> </w:t>
      </w:r>
    </w:p>
  </w:footnote>
  <w:footnote w:id="37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</w:r>
      <w:hyperlink r:id="rId15" w:anchor="legalfoundations" w:history="1">
        <w:r>
          <w:rPr>
            <w:rStyle w:val="Hiperveza"/>
          </w:rPr>
          <w:t>https://ec.europa.eu/info/food-farming-fisheries/key-policies/common-agricultural-policy/cap-glance_hr#legalfoundations</w:t>
        </w:r>
      </w:hyperlink>
      <w:r>
        <w:t xml:space="preserve"> </w:t>
      </w:r>
    </w:p>
  </w:footnote>
  <w:footnote w:id="38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</w:r>
      <w:hyperlink r:id="rId16" w:history="1">
        <w:r>
          <w:rPr>
            <w:rStyle w:val="Hiperveza"/>
          </w:rPr>
          <w:t>https://ec.europa.eu/info/business-economy-euro/recovery-coronavirus/recovery-and-resilience-facility_hr</w:t>
        </w:r>
      </w:hyperlink>
      <w:r>
        <w:t xml:space="preserve"> </w:t>
      </w:r>
    </w:p>
  </w:footnote>
  <w:footnote w:id="39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 xml:space="preserve">Cjeloviti popis pratećih mjera nalazi se u Prilogu. </w:t>
      </w:r>
    </w:p>
  </w:footnote>
  <w:footnote w:id="40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 xml:space="preserve">To uključuje posebne izazove povezane s </w:t>
      </w:r>
      <w:r>
        <w:t>demografijom ruralnih područja, kao što je starenje stanovništva zbog kojeg treba osigurati pristupačnost prijevoznih sredstava i infrastrukture.</w:t>
      </w:r>
    </w:p>
  </w:footnote>
  <w:footnote w:id="41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</w:r>
      <w:hyperlink r:id="rId17" w:history="1">
        <w:r>
          <w:rPr>
            <w:rStyle w:val="Hiperveza"/>
          </w:rPr>
          <w:t>h</w:t>
        </w:r>
        <w:r>
          <w:rPr>
            <w:rStyle w:val="Hiperveza"/>
          </w:rPr>
          <w:t>ttps://www.eltis.org/sites/default/files/sump_guidelines_2019_interactive_document_1.pdf</w:t>
        </w:r>
      </w:hyperlink>
    </w:p>
  </w:footnote>
  <w:footnote w:id="42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 xml:space="preserve">U rezultatima projekta SMARTA 1 zaključeno je da se inicijative na lokalnoj razini koje bi lokalne vlasti mogle primijeniti i na svojem području mogu predstaviti u </w:t>
      </w:r>
      <w:r>
        <w:t xml:space="preserve">okviru mreže za ruralni promet, koja može poslužiti i kao forum za raspravu o pitanjima ruralne mobilnosti. Vidjeti: </w:t>
      </w:r>
      <w:hyperlink r:id="rId18" w:history="1">
        <w:r>
          <w:rPr>
            <w:rStyle w:val="Hiperveza"/>
          </w:rPr>
          <w:t>https://ruralsharedmobility.eu/wp-cont</w:t>
        </w:r>
        <w:r>
          <w:rPr>
            <w:rStyle w:val="Hiperveza"/>
          </w:rPr>
          <w:t>ent/uploads/2021/01/SMARTA-2nd-Brochure-EN.pdf</w:t>
        </w:r>
      </w:hyperlink>
      <w:r>
        <w:t xml:space="preserve"> </w:t>
      </w:r>
    </w:p>
  </w:footnote>
  <w:footnote w:id="43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Komunikacija „Prilagodba obrazovanja i osposobljavanja digitalnom dobu” (COM(2020) 624 final).</w:t>
      </w:r>
    </w:p>
  </w:footnote>
  <w:footnote w:id="44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Komunikacija „Digitalni kompas 2030.: europski pristup za digitalno desetljeće” (COM(2021) 118 final).</w:t>
      </w:r>
    </w:p>
  </w:footnote>
  <w:footnote w:id="45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</w:r>
      <w:r>
        <w:t>Uključujući mjere koje je Komisija preporučila u okviru učinkovite aktivne potpore zapošljavanju (EASE).</w:t>
      </w:r>
    </w:p>
  </w:footnote>
  <w:footnote w:id="46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</w:r>
      <w:hyperlink r:id="rId19" w:history="1">
        <w:r>
          <w:rPr>
            <w:rStyle w:val="Hiperveza"/>
          </w:rPr>
          <w:t>https://europa.eu/new-european-bauhaus/index_hr</w:t>
        </w:r>
      </w:hyperlink>
    </w:p>
  </w:footnote>
  <w:footnote w:id="47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Komunikacija „Unija ravnopravnost</w:t>
      </w:r>
      <w:r>
        <w:t>i: Strategija za rodnu ravnopravnost za razdoblje 2020.–2025.” (COM(2020) 152 final).</w:t>
      </w:r>
    </w:p>
  </w:footnote>
  <w:footnote w:id="48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Komunikacija: Strategija EU-a o pravima djeteta za razdoblje 2021.–2024. (COM) (2021) 142 final).</w:t>
      </w:r>
    </w:p>
  </w:footnote>
  <w:footnote w:id="49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Kriza uzrokovana bolešću COVID-19 potaknula je promjene u ponašanj</w:t>
      </w:r>
      <w:r>
        <w:t>u u korist održivog turizma (</w:t>
      </w:r>
      <w:hyperlink r:id="rId20" w:history="1">
        <w:r>
          <w:rPr>
            <w:rStyle w:val="Hiperveza"/>
          </w:rPr>
          <w:t>https://publications.jrc.ec.europa.eu/repository/handle/JRC121262</w:t>
        </w:r>
      </w:hyperlink>
      <w:r>
        <w:t>).</w:t>
      </w:r>
    </w:p>
  </w:footnote>
  <w:footnote w:id="50">
    <w:p w:rsidR="00E25DD0" w:rsidRDefault="00E25DD0"/>
  </w:footnote>
  <w:footnote w:id="51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 xml:space="preserve">Deklaracija Cork 2.0 – Bolji život u ruralnim područjima: </w:t>
      </w:r>
      <w:hyperlink r:id="rId21" w:history="1">
        <w:r>
          <w:rPr>
            <w:rStyle w:val="Hiperveza"/>
          </w:rPr>
          <w:t>https://enrd.ec.europa.eu/sites/default/files/cork-declaration_hr.pdf</w:t>
        </w:r>
      </w:hyperlink>
    </w:p>
  </w:footnote>
  <w:footnote w:id="52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  <w:t>Komunikacija „Budućnost hrane i poljoprivrede” (COM(2017) 713 final).</w:t>
      </w:r>
    </w:p>
  </w:footnote>
  <w:footnote w:id="53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</w:r>
      <w:hyperlink r:id="rId22" w:history="1">
        <w:r>
          <w:rPr>
            <w:rStyle w:val="Hiperveza"/>
          </w:rPr>
          <w:t>https://ec.europa.eu/commission/presscorner/detail/hr/qanda_21_1902</w:t>
        </w:r>
      </w:hyperlink>
      <w:r>
        <w:t xml:space="preserve"> </w:t>
      </w:r>
    </w:p>
  </w:footnote>
  <w:footnote w:id="54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</w:r>
      <w:hyperlink r:id="rId23" w:history="1">
        <w:r>
          <w:rPr>
            <w:rStyle w:val="Hiperveza"/>
          </w:rPr>
          <w:t>https://knowledge4policy.ec.europa.eu/territorial_en</w:t>
        </w:r>
      </w:hyperlink>
      <w:r>
        <w:t xml:space="preserve"> </w:t>
      </w:r>
    </w:p>
  </w:footnote>
  <w:footnote w:id="55">
    <w:p w:rsidR="00E25DD0" w:rsidRDefault="0021658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ab/>
      </w:r>
      <w:hyperlink r:id="rId24" w:history="1">
        <w:r>
          <w:rPr>
            <w:rStyle w:val="Hiperveza"/>
          </w:rPr>
          <w:t>https://www.espon.eu/programme/espon/espon-2020-cooperation-programme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D0" w:rsidRDefault="00E25DD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D0" w:rsidRDefault="00E25DD0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D0" w:rsidRDefault="00E25DD0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D0" w:rsidRDefault="00E25DD0">
    <w:pPr>
      <w:pStyle w:val="Zaglavlj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D0" w:rsidRDefault="00E25DD0">
    <w:pPr>
      <w:pStyle w:val="Zaglavlj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D0" w:rsidRDefault="00E25DD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C40"/>
    <w:multiLevelType w:val="hybridMultilevel"/>
    <w:tmpl w:val="51827DB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98D23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A85A2C"/>
    <w:multiLevelType w:val="hybridMultilevel"/>
    <w:tmpl w:val="EBD05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5DB6"/>
    <w:multiLevelType w:val="multilevel"/>
    <w:tmpl w:val="91B0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4996626"/>
    <w:multiLevelType w:val="hybridMultilevel"/>
    <w:tmpl w:val="74962A0A"/>
    <w:lvl w:ilvl="0" w:tplc="1F961EDC">
      <w:start w:val="1"/>
      <w:numFmt w:val="bullet"/>
      <w:pStyle w:val="Briefinglis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57B09"/>
    <w:multiLevelType w:val="hybridMultilevel"/>
    <w:tmpl w:val="FA067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D19C8"/>
    <w:multiLevelType w:val="hybridMultilevel"/>
    <w:tmpl w:val="FED6E3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90F5C"/>
    <w:multiLevelType w:val="hybridMultilevel"/>
    <w:tmpl w:val="922038BA"/>
    <w:lvl w:ilvl="0" w:tplc="1E1444CC">
      <w:start w:val="4"/>
      <w:numFmt w:val="upperLetter"/>
      <w:lvlText w:val="%1."/>
      <w:lvlJc w:val="left"/>
      <w:pPr>
        <w:ind w:left="277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492" w:hanging="360"/>
      </w:pPr>
    </w:lvl>
    <w:lvl w:ilvl="2" w:tplc="080C001B" w:tentative="1">
      <w:start w:val="1"/>
      <w:numFmt w:val="lowerRoman"/>
      <w:lvlText w:val="%3."/>
      <w:lvlJc w:val="right"/>
      <w:pPr>
        <w:ind w:left="4212" w:hanging="180"/>
      </w:pPr>
    </w:lvl>
    <w:lvl w:ilvl="3" w:tplc="080C000F" w:tentative="1">
      <w:start w:val="1"/>
      <w:numFmt w:val="decimal"/>
      <w:lvlText w:val="%4."/>
      <w:lvlJc w:val="left"/>
      <w:pPr>
        <w:ind w:left="4932" w:hanging="360"/>
      </w:pPr>
    </w:lvl>
    <w:lvl w:ilvl="4" w:tplc="080C0019" w:tentative="1">
      <w:start w:val="1"/>
      <w:numFmt w:val="lowerLetter"/>
      <w:lvlText w:val="%5."/>
      <w:lvlJc w:val="left"/>
      <w:pPr>
        <w:ind w:left="5652" w:hanging="360"/>
      </w:pPr>
    </w:lvl>
    <w:lvl w:ilvl="5" w:tplc="080C001B" w:tentative="1">
      <w:start w:val="1"/>
      <w:numFmt w:val="lowerRoman"/>
      <w:lvlText w:val="%6."/>
      <w:lvlJc w:val="right"/>
      <w:pPr>
        <w:ind w:left="6372" w:hanging="180"/>
      </w:pPr>
    </w:lvl>
    <w:lvl w:ilvl="6" w:tplc="080C000F" w:tentative="1">
      <w:start w:val="1"/>
      <w:numFmt w:val="decimal"/>
      <w:lvlText w:val="%7."/>
      <w:lvlJc w:val="left"/>
      <w:pPr>
        <w:ind w:left="7092" w:hanging="360"/>
      </w:pPr>
    </w:lvl>
    <w:lvl w:ilvl="7" w:tplc="080C0019" w:tentative="1">
      <w:start w:val="1"/>
      <w:numFmt w:val="lowerLetter"/>
      <w:lvlText w:val="%8."/>
      <w:lvlJc w:val="left"/>
      <w:pPr>
        <w:ind w:left="7812" w:hanging="360"/>
      </w:pPr>
    </w:lvl>
    <w:lvl w:ilvl="8" w:tplc="080C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8">
    <w:nsid w:val="31985D48"/>
    <w:multiLevelType w:val="hybridMultilevel"/>
    <w:tmpl w:val="A16C2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A0458"/>
    <w:multiLevelType w:val="hybridMultilevel"/>
    <w:tmpl w:val="D78CB1DC"/>
    <w:lvl w:ilvl="0" w:tplc="F45E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F456A"/>
    <w:multiLevelType w:val="multilevel"/>
    <w:tmpl w:val="82AA44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E3228D"/>
    <w:multiLevelType w:val="hybridMultilevel"/>
    <w:tmpl w:val="6738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C653D"/>
    <w:multiLevelType w:val="multilevel"/>
    <w:tmpl w:val="28DE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EC66C05"/>
    <w:multiLevelType w:val="hybridMultilevel"/>
    <w:tmpl w:val="83106A7C"/>
    <w:lvl w:ilvl="0" w:tplc="BD281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77625"/>
    <w:multiLevelType w:val="hybridMultilevel"/>
    <w:tmpl w:val="957A09B4"/>
    <w:lvl w:ilvl="0" w:tplc="43964DFE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72" w:hanging="360"/>
      </w:pPr>
    </w:lvl>
    <w:lvl w:ilvl="2" w:tplc="B2806454">
      <w:start w:val="3"/>
      <w:numFmt w:val="upperLetter"/>
      <w:lvlText w:val="%3."/>
      <w:lvlJc w:val="left"/>
      <w:pPr>
        <w:ind w:left="2772" w:hanging="360"/>
      </w:pPr>
      <w:rPr>
        <w:rFonts w:hint="default"/>
      </w:rPr>
    </w:lvl>
    <w:lvl w:ilvl="3" w:tplc="080C000F" w:tentative="1">
      <w:start w:val="1"/>
      <w:numFmt w:val="decimal"/>
      <w:lvlText w:val="%4."/>
      <w:lvlJc w:val="left"/>
      <w:pPr>
        <w:ind w:left="3312" w:hanging="360"/>
      </w:pPr>
    </w:lvl>
    <w:lvl w:ilvl="4" w:tplc="080C0019" w:tentative="1">
      <w:start w:val="1"/>
      <w:numFmt w:val="lowerLetter"/>
      <w:lvlText w:val="%5."/>
      <w:lvlJc w:val="left"/>
      <w:pPr>
        <w:ind w:left="4032" w:hanging="360"/>
      </w:pPr>
    </w:lvl>
    <w:lvl w:ilvl="5" w:tplc="080C001B" w:tentative="1">
      <w:start w:val="1"/>
      <w:numFmt w:val="lowerRoman"/>
      <w:lvlText w:val="%6."/>
      <w:lvlJc w:val="right"/>
      <w:pPr>
        <w:ind w:left="4752" w:hanging="180"/>
      </w:pPr>
    </w:lvl>
    <w:lvl w:ilvl="6" w:tplc="080C000F" w:tentative="1">
      <w:start w:val="1"/>
      <w:numFmt w:val="decimal"/>
      <w:lvlText w:val="%7."/>
      <w:lvlJc w:val="left"/>
      <w:pPr>
        <w:ind w:left="5472" w:hanging="360"/>
      </w:pPr>
    </w:lvl>
    <w:lvl w:ilvl="7" w:tplc="080C0019" w:tentative="1">
      <w:start w:val="1"/>
      <w:numFmt w:val="lowerLetter"/>
      <w:lvlText w:val="%8."/>
      <w:lvlJc w:val="left"/>
      <w:pPr>
        <w:ind w:left="6192" w:hanging="360"/>
      </w:pPr>
    </w:lvl>
    <w:lvl w:ilvl="8" w:tplc="08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54754563"/>
    <w:multiLevelType w:val="hybridMultilevel"/>
    <w:tmpl w:val="687E26F6"/>
    <w:lvl w:ilvl="0" w:tplc="080C0019">
      <w:start w:val="1"/>
      <w:numFmt w:val="lowerLetter"/>
      <w:lvlText w:val="%1."/>
      <w:lvlJc w:val="left"/>
      <w:pPr>
        <w:ind w:left="1872" w:hanging="360"/>
      </w:pPr>
    </w:lvl>
    <w:lvl w:ilvl="1" w:tplc="080C0019" w:tentative="1">
      <w:start w:val="1"/>
      <w:numFmt w:val="lowerLetter"/>
      <w:lvlText w:val="%2."/>
      <w:lvlJc w:val="left"/>
      <w:pPr>
        <w:ind w:left="2592" w:hanging="360"/>
      </w:pPr>
    </w:lvl>
    <w:lvl w:ilvl="2" w:tplc="080C001B" w:tentative="1">
      <w:start w:val="1"/>
      <w:numFmt w:val="lowerRoman"/>
      <w:lvlText w:val="%3."/>
      <w:lvlJc w:val="right"/>
      <w:pPr>
        <w:ind w:left="3312" w:hanging="180"/>
      </w:pPr>
    </w:lvl>
    <w:lvl w:ilvl="3" w:tplc="080C000F" w:tentative="1">
      <w:start w:val="1"/>
      <w:numFmt w:val="decimal"/>
      <w:lvlText w:val="%4."/>
      <w:lvlJc w:val="left"/>
      <w:pPr>
        <w:ind w:left="4032" w:hanging="360"/>
      </w:pPr>
    </w:lvl>
    <w:lvl w:ilvl="4" w:tplc="080C0019" w:tentative="1">
      <w:start w:val="1"/>
      <w:numFmt w:val="lowerLetter"/>
      <w:lvlText w:val="%5."/>
      <w:lvlJc w:val="left"/>
      <w:pPr>
        <w:ind w:left="4752" w:hanging="360"/>
      </w:pPr>
    </w:lvl>
    <w:lvl w:ilvl="5" w:tplc="080C001B" w:tentative="1">
      <w:start w:val="1"/>
      <w:numFmt w:val="lowerRoman"/>
      <w:lvlText w:val="%6."/>
      <w:lvlJc w:val="right"/>
      <w:pPr>
        <w:ind w:left="5472" w:hanging="180"/>
      </w:pPr>
    </w:lvl>
    <w:lvl w:ilvl="6" w:tplc="080C000F" w:tentative="1">
      <w:start w:val="1"/>
      <w:numFmt w:val="decimal"/>
      <w:lvlText w:val="%7."/>
      <w:lvlJc w:val="left"/>
      <w:pPr>
        <w:ind w:left="6192" w:hanging="360"/>
      </w:pPr>
    </w:lvl>
    <w:lvl w:ilvl="7" w:tplc="080C0019" w:tentative="1">
      <w:start w:val="1"/>
      <w:numFmt w:val="lowerLetter"/>
      <w:lvlText w:val="%8."/>
      <w:lvlJc w:val="left"/>
      <w:pPr>
        <w:ind w:left="6912" w:hanging="360"/>
      </w:pPr>
    </w:lvl>
    <w:lvl w:ilvl="8" w:tplc="080C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">
    <w:nsid w:val="5713365C"/>
    <w:multiLevelType w:val="hybridMultilevel"/>
    <w:tmpl w:val="9BB6254A"/>
    <w:lvl w:ilvl="0" w:tplc="D47C1A7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831899A0">
      <w:start w:val="1"/>
      <w:numFmt w:val="lowerLetter"/>
      <w:lvlText w:val="%2."/>
      <w:lvlJc w:val="left"/>
      <w:pPr>
        <w:ind w:left="1440" w:hanging="360"/>
      </w:pPr>
    </w:lvl>
    <w:lvl w:ilvl="2" w:tplc="138663C4">
      <w:start w:val="1"/>
      <w:numFmt w:val="lowerRoman"/>
      <w:lvlText w:val="%3."/>
      <w:lvlJc w:val="right"/>
      <w:pPr>
        <w:ind w:left="2160" w:hanging="180"/>
      </w:pPr>
    </w:lvl>
    <w:lvl w:ilvl="3" w:tplc="B784E070">
      <w:start w:val="1"/>
      <w:numFmt w:val="decimal"/>
      <w:lvlText w:val="%4."/>
      <w:lvlJc w:val="left"/>
      <w:pPr>
        <w:ind w:left="2880" w:hanging="360"/>
      </w:pPr>
    </w:lvl>
    <w:lvl w:ilvl="4" w:tplc="D63C4E52">
      <w:start w:val="1"/>
      <w:numFmt w:val="lowerLetter"/>
      <w:lvlText w:val="%5."/>
      <w:lvlJc w:val="left"/>
      <w:pPr>
        <w:ind w:left="3600" w:hanging="360"/>
      </w:pPr>
    </w:lvl>
    <w:lvl w:ilvl="5" w:tplc="38FA46DC">
      <w:start w:val="1"/>
      <w:numFmt w:val="lowerRoman"/>
      <w:lvlText w:val="%6."/>
      <w:lvlJc w:val="right"/>
      <w:pPr>
        <w:ind w:left="4320" w:hanging="180"/>
      </w:pPr>
    </w:lvl>
    <w:lvl w:ilvl="6" w:tplc="DBC4699C">
      <w:start w:val="1"/>
      <w:numFmt w:val="decimal"/>
      <w:lvlText w:val="%7."/>
      <w:lvlJc w:val="left"/>
      <w:pPr>
        <w:ind w:left="5040" w:hanging="360"/>
      </w:pPr>
    </w:lvl>
    <w:lvl w:ilvl="7" w:tplc="016E3E5A">
      <w:start w:val="1"/>
      <w:numFmt w:val="lowerLetter"/>
      <w:lvlText w:val="%8."/>
      <w:lvlJc w:val="left"/>
      <w:pPr>
        <w:ind w:left="5760" w:hanging="360"/>
      </w:pPr>
    </w:lvl>
    <w:lvl w:ilvl="8" w:tplc="64E4F20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81178"/>
    <w:multiLevelType w:val="hybridMultilevel"/>
    <w:tmpl w:val="0598D4C2"/>
    <w:lvl w:ilvl="0" w:tplc="291EDA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153B7"/>
    <w:multiLevelType w:val="hybridMultilevel"/>
    <w:tmpl w:val="8FF2D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B3D86"/>
    <w:multiLevelType w:val="multilevel"/>
    <w:tmpl w:val="40345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6E752D"/>
    <w:multiLevelType w:val="hybridMultilevel"/>
    <w:tmpl w:val="D0BA3018"/>
    <w:lvl w:ilvl="0" w:tplc="E8E2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B10C8"/>
    <w:multiLevelType w:val="hybridMultilevel"/>
    <w:tmpl w:val="FDDA34F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EA5972"/>
    <w:multiLevelType w:val="hybridMultilevel"/>
    <w:tmpl w:val="83FC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B3597"/>
    <w:multiLevelType w:val="hybridMultilevel"/>
    <w:tmpl w:val="2E5CCDB8"/>
    <w:lvl w:ilvl="0" w:tplc="EF844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B3AEE"/>
    <w:multiLevelType w:val="hybridMultilevel"/>
    <w:tmpl w:val="E7EAA600"/>
    <w:lvl w:ilvl="0" w:tplc="963E2BFE">
      <w:start w:val="1"/>
      <w:numFmt w:val="bullet"/>
      <w:lvlText w:val="•"/>
      <w:lvlJc w:val="left"/>
      <w:pPr>
        <w:ind w:left="114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5">
    <w:nsid w:val="754D5A46"/>
    <w:multiLevelType w:val="hybridMultilevel"/>
    <w:tmpl w:val="48A0B5A4"/>
    <w:lvl w:ilvl="0" w:tplc="94C257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B5FE6"/>
    <w:multiLevelType w:val="hybridMultilevel"/>
    <w:tmpl w:val="BE30C270"/>
    <w:lvl w:ilvl="0" w:tplc="614AE8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1"/>
  </w:num>
  <w:num w:numId="5">
    <w:abstractNumId w:val="16"/>
  </w:num>
  <w:num w:numId="6">
    <w:abstractNumId w:val="1"/>
  </w:num>
  <w:num w:numId="7">
    <w:abstractNumId w:val="4"/>
  </w:num>
  <w:num w:numId="8">
    <w:abstractNumId w:val="10"/>
  </w:num>
  <w:num w:numId="9">
    <w:abstractNumId w:val="14"/>
  </w:num>
  <w:num w:numId="10">
    <w:abstractNumId w:val="19"/>
  </w:num>
  <w:num w:numId="11">
    <w:abstractNumId w:val="15"/>
  </w:num>
  <w:num w:numId="12">
    <w:abstractNumId w:val="7"/>
  </w:num>
  <w:num w:numId="13">
    <w:abstractNumId w:val="21"/>
  </w:num>
  <w:num w:numId="14">
    <w:abstractNumId w:val="17"/>
  </w:num>
  <w:num w:numId="15">
    <w:abstractNumId w:val="2"/>
  </w:num>
  <w:num w:numId="16">
    <w:abstractNumId w:val="8"/>
  </w:num>
  <w:num w:numId="17">
    <w:abstractNumId w:val="26"/>
  </w:num>
  <w:num w:numId="18">
    <w:abstractNumId w:val="6"/>
  </w:num>
  <w:num w:numId="19">
    <w:abstractNumId w:val="25"/>
  </w:num>
  <w:num w:numId="20">
    <w:abstractNumId w:val="0"/>
  </w:num>
  <w:num w:numId="21">
    <w:abstractNumId w:val="13"/>
  </w:num>
  <w:num w:numId="22">
    <w:abstractNumId w:val="3"/>
  </w:num>
  <w:num w:numId="23">
    <w:abstractNumId w:val="12"/>
  </w:num>
  <w:num w:numId="24">
    <w:abstractNumId w:val="22"/>
  </w:num>
  <w:num w:numId="25">
    <w:abstractNumId w:val="18"/>
  </w:num>
  <w:num w:numId="26">
    <w:abstractNumId w:val="24"/>
  </w:num>
  <w:num w:numId="2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pt-PT" w:vendorID="64" w:dllVersion="6" w:nlCheck="1" w:checkStyle="0"/>
  <w:activeWritingStyle w:appName="MSWord" w:lang="en-AU" w:vendorID="64" w:dllVersion="6" w:nlCheck="1" w:checkStyle="1"/>
  <w:activeWritingStyle w:appName="MSWord" w:lang="es-ES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40115FC7-7F8E-4CD2-993F-ABCA1C5BBBE5"/>
    <w:docVar w:name="LW_COVERPAGE_TYPE" w:val="1"/>
    <w:docVar w:name="LW_CROSSREFERENCE" w:val="{SWD(2021) 166 final} - {SWD(2021) 167 final}"/>
    <w:docVar w:name="LW_DocType" w:val="NORMAL"/>
    <w:docVar w:name="LW_EMISSION" w:val="30.6.2021."/>
    <w:docVar w:name="LW_EMISSION_ISODATE" w:val="2021-06-30"/>
    <w:docVar w:name="LW_EMISSION_LOCATION" w:val="BRX"/>
    <w:docVar w:name="LW_EMISSION_PREFIX" w:val="Bruxelles, "/>
    <w:docVar w:name="LW_EMISSION_SUFFIX" w:val="&lt;EMPTY&gt;"/>
    <w:docVar w:name="LW_ID_DOCTYPE_NONLW" w:val="CP-014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1) 34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Dugoro\u269?na vizija za ruralna podru\u269?ja EU-a \u8211? Do 2040. ostvariti ja\u269?a, povezana, otporna i prosperitetna ruralna podru\u269?ja"/>
    <w:docVar w:name="LW_TYPE.DOC.CP" w:val="KOMUNIKACIJA KOMISIJE EUROPSKOM PARLAMENTU, VIJE\u262?U, EUROPSKOM GOSPODARSKOM I SOCIJALNOM ODBORU I ODBORU REGIJA"/>
    <w:docVar w:name="LW_TYPE.DOC.CP.USERTEXT" w:val="&lt;EMPTY&gt;"/>
    <w:docVar w:name="LwApiVersions" w:val="LW4CoDe 1.23.0.0; LW 8.0, Build 20210114"/>
  </w:docVars>
  <w:rsids>
    <w:rsidRoot w:val="00E25DD0"/>
    <w:rsid w:val="00216589"/>
    <w:rsid w:val="00E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0" w:unhideWhenUsed="0" w:qFormat="1"/>
    <w:lsdException w:name="heading 1" w:semiHidden="0" w:uiPriority="90" w:unhideWhenUsed="0" w:qFormat="1"/>
    <w:lsdException w:name="heading 2" w:uiPriority="9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0"/>
    <w:qFormat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aslov1">
    <w:name w:val="heading 1"/>
    <w:basedOn w:val="Normal"/>
    <w:next w:val="Text1"/>
    <w:link w:val="Naslov1Char"/>
    <w:uiPriority w:val="90"/>
    <w:qFormat/>
    <w:pPr>
      <w:keepNext/>
      <w:tabs>
        <w:tab w:val="num" w:pos="482"/>
      </w:tabs>
      <w:spacing w:before="240"/>
      <w:ind w:left="482" w:hanging="482"/>
      <w:outlineLvl w:val="0"/>
    </w:pPr>
    <w:rPr>
      <w:b/>
      <w:smallCaps/>
    </w:rPr>
  </w:style>
  <w:style w:type="paragraph" w:styleId="Naslov2">
    <w:name w:val="heading 2"/>
    <w:basedOn w:val="Normal"/>
    <w:next w:val="Text2"/>
    <w:link w:val="Naslov2Char"/>
    <w:uiPriority w:val="90"/>
    <w:qFormat/>
    <w:pPr>
      <w:keepNext/>
      <w:tabs>
        <w:tab w:val="num" w:pos="2013"/>
      </w:tabs>
      <w:ind w:left="2013" w:hanging="595"/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uiPriority w:val="90"/>
    <w:qFormat/>
    <w:pPr>
      <w:keepNext/>
      <w:tabs>
        <w:tab w:val="num" w:pos="1922"/>
      </w:tabs>
      <w:ind w:left="1922" w:hanging="845"/>
      <w:jc w:val="left"/>
      <w:outlineLvl w:val="2"/>
    </w:pPr>
    <w:rPr>
      <w:b/>
      <w:i/>
    </w:rPr>
  </w:style>
  <w:style w:type="paragraph" w:styleId="Naslov4">
    <w:name w:val="heading 4"/>
    <w:basedOn w:val="Normal"/>
    <w:next w:val="Normal"/>
    <w:link w:val="Naslov4Char"/>
    <w:uiPriority w:val="90"/>
    <w:qFormat/>
    <w:pPr>
      <w:keepNext/>
      <w:tabs>
        <w:tab w:val="num" w:pos="2880"/>
      </w:tabs>
      <w:ind w:left="2880" w:hanging="958"/>
      <w:outlineLvl w:val="3"/>
    </w:pPr>
  </w:style>
  <w:style w:type="paragraph" w:styleId="Naslov5">
    <w:name w:val="heading 5"/>
    <w:basedOn w:val="Normal"/>
    <w:next w:val="Normal"/>
    <w:link w:val="Naslov5Char"/>
    <w:semiHidden/>
    <w:pPr>
      <w:keepNext/>
      <w:tabs>
        <w:tab w:val="num" w:pos="2880"/>
      </w:tabs>
      <w:ind w:left="3838" w:hanging="958"/>
      <w:outlineLvl w:val="4"/>
    </w:pPr>
  </w:style>
  <w:style w:type="paragraph" w:styleId="Naslov6">
    <w:name w:val="heading 6"/>
    <w:basedOn w:val="Normal"/>
    <w:next w:val="Normal"/>
    <w:link w:val="Naslov6Char"/>
    <w:semiHidden/>
    <w:pPr>
      <w:keepNext/>
      <w:tabs>
        <w:tab w:val="num" w:pos="2880"/>
      </w:tabs>
      <w:ind w:left="3838" w:hanging="958"/>
      <w:outlineLvl w:val="5"/>
    </w:pPr>
  </w:style>
  <w:style w:type="paragraph" w:styleId="Naslov7">
    <w:name w:val="heading 7"/>
    <w:basedOn w:val="Normal"/>
    <w:next w:val="Normal"/>
    <w:link w:val="Naslov7Char"/>
    <w:semiHidden/>
    <w:pPr>
      <w:keepNext/>
      <w:tabs>
        <w:tab w:val="num" w:pos="2880"/>
      </w:tabs>
      <w:ind w:left="3838" w:hanging="958"/>
      <w:outlineLvl w:val="6"/>
    </w:pPr>
  </w:style>
  <w:style w:type="paragraph" w:styleId="Naslov8">
    <w:name w:val="heading 8"/>
    <w:basedOn w:val="Normal"/>
    <w:next w:val="Normal"/>
    <w:link w:val="Naslov8Char"/>
    <w:semiHidden/>
    <w:pPr>
      <w:keepNext/>
      <w:tabs>
        <w:tab w:val="num" w:pos="2880"/>
      </w:tabs>
      <w:ind w:left="3838" w:hanging="958"/>
      <w:outlineLvl w:val="7"/>
    </w:pPr>
  </w:style>
  <w:style w:type="paragraph" w:styleId="Naslov9">
    <w:name w:val="heading 9"/>
    <w:basedOn w:val="Normal"/>
    <w:next w:val="Normal"/>
    <w:link w:val="Naslov9Char"/>
    <w:semiHidden/>
    <w:pPr>
      <w:keepNext/>
      <w:tabs>
        <w:tab w:val="num" w:pos="2880"/>
      </w:tabs>
      <w:ind w:left="3838" w:hanging="958"/>
      <w:outlineLvl w:val="8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0"/>
    <w:rPr>
      <w:rFonts w:ascii="Times New Roman" w:eastAsia="Times New Roman" w:hAnsi="Times New Roman" w:cs="Times New Roman"/>
      <w:b/>
      <w:smallCaps/>
      <w:sz w:val="24"/>
      <w:szCs w:val="20"/>
      <w:lang w:val="hr-HR" w:eastAsia="en-GB"/>
    </w:rPr>
  </w:style>
  <w:style w:type="character" w:customStyle="1" w:styleId="Naslov2Char">
    <w:name w:val="Naslov 2 Char"/>
    <w:basedOn w:val="Zadanifontodlomka"/>
    <w:link w:val="Naslov2"/>
    <w:uiPriority w:val="90"/>
    <w:rPr>
      <w:rFonts w:ascii="Times New Roman" w:eastAsia="Times New Roman" w:hAnsi="Times New Roman" w:cs="Times New Roman"/>
      <w:b/>
      <w:sz w:val="24"/>
      <w:szCs w:val="20"/>
      <w:lang w:val="hr-HR" w:eastAsia="en-GB"/>
    </w:rPr>
  </w:style>
  <w:style w:type="character" w:customStyle="1" w:styleId="Naslov3Char">
    <w:name w:val="Naslov 3 Char"/>
    <w:basedOn w:val="Zadanifontodlomka"/>
    <w:link w:val="Naslov3"/>
    <w:uiPriority w:val="90"/>
    <w:rPr>
      <w:rFonts w:ascii="Times New Roman" w:eastAsia="Times New Roman" w:hAnsi="Times New Roman" w:cs="Times New Roman"/>
      <w:b/>
      <w:i/>
      <w:sz w:val="24"/>
      <w:szCs w:val="20"/>
      <w:lang w:val="hr-HR" w:eastAsia="en-GB"/>
    </w:rPr>
  </w:style>
  <w:style w:type="character" w:customStyle="1" w:styleId="Naslov4Char">
    <w:name w:val="Naslov 4 Char"/>
    <w:basedOn w:val="Zadanifontodlomka"/>
    <w:link w:val="Naslov4"/>
    <w:uiPriority w:val="90"/>
    <w:rPr>
      <w:rFonts w:ascii="Times New Roman" w:eastAsia="Times New Roman" w:hAnsi="Times New Roman" w:cs="Times New Roman"/>
      <w:sz w:val="24"/>
      <w:szCs w:val="20"/>
      <w:lang w:val="hr-HR" w:eastAsia="en-GB"/>
    </w:rPr>
  </w:style>
  <w:style w:type="character" w:customStyle="1" w:styleId="Naslov5Char">
    <w:name w:val="Naslov 5 Char"/>
    <w:basedOn w:val="Zadanifontodlomka"/>
    <w:link w:val="Naslov5"/>
    <w:semiHidden/>
    <w:rPr>
      <w:rFonts w:ascii="Times New Roman" w:eastAsia="Times New Roman" w:hAnsi="Times New Roman" w:cs="Times New Roman"/>
      <w:sz w:val="24"/>
      <w:szCs w:val="20"/>
      <w:lang w:val="hr-HR" w:eastAsia="en-GB"/>
    </w:rPr>
  </w:style>
  <w:style w:type="character" w:customStyle="1" w:styleId="Naslov6Char">
    <w:name w:val="Naslov 6 Char"/>
    <w:basedOn w:val="Zadanifontodlomka"/>
    <w:link w:val="Naslov6"/>
    <w:semiHidden/>
    <w:rPr>
      <w:rFonts w:ascii="Times New Roman" w:eastAsia="Times New Roman" w:hAnsi="Times New Roman" w:cs="Times New Roman"/>
      <w:sz w:val="24"/>
      <w:szCs w:val="20"/>
      <w:lang w:val="hr-HR" w:eastAsia="en-GB"/>
    </w:rPr>
  </w:style>
  <w:style w:type="character" w:customStyle="1" w:styleId="Naslov7Char">
    <w:name w:val="Naslov 7 Char"/>
    <w:basedOn w:val="Zadanifontodlomka"/>
    <w:link w:val="Naslov7"/>
    <w:semiHidden/>
    <w:rPr>
      <w:rFonts w:ascii="Times New Roman" w:eastAsia="Times New Roman" w:hAnsi="Times New Roman" w:cs="Times New Roman"/>
      <w:sz w:val="24"/>
      <w:szCs w:val="20"/>
      <w:lang w:val="hr-HR" w:eastAsia="en-GB"/>
    </w:rPr>
  </w:style>
  <w:style w:type="character" w:customStyle="1" w:styleId="Naslov8Char">
    <w:name w:val="Naslov 8 Char"/>
    <w:basedOn w:val="Zadanifontodlomka"/>
    <w:link w:val="Naslov8"/>
    <w:semiHidden/>
    <w:rPr>
      <w:rFonts w:ascii="Times New Roman" w:eastAsia="Times New Roman" w:hAnsi="Times New Roman" w:cs="Times New Roman"/>
      <w:sz w:val="24"/>
      <w:szCs w:val="20"/>
      <w:lang w:val="hr-HR" w:eastAsia="en-GB"/>
    </w:rPr>
  </w:style>
  <w:style w:type="character" w:customStyle="1" w:styleId="Naslov9Char">
    <w:name w:val="Naslov 9 Char"/>
    <w:basedOn w:val="Zadanifontodlomka"/>
    <w:link w:val="Naslov9"/>
    <w:semiHidden/>
    <w:rPr>
      <w:rFonts w:ascii="Times New Roman" w:eastAsia="Times New Roman" w:hAnsi="Times New Roman" w:cs="Times New Roman"/>
      <w:sz w:val="24"/>
      <w:szCs w:val="20"/>
      <w:lang w:val="hr-HR" w:eastAsia="en-GB"/>
    </w:rPr>
  </w:style>
  <w:style w:type="paragraph" w:styleId="Tekstfusnote">
    <w:name w:val="footnote text"/>
    <w:aliases w:val="Footnote,Schriftart: 9 pt,Schriftart: 10 pt,Schriftart: 8 pt,WB-Fußnotentext,Footnote Text Char2,Footnote Text Char1 Char,Footnote Text Char2 Char Char,Footnote Text Char1 Char Char Char,Footnote Text Char2 Char Char Char Char,o,fn,f"/>
    <w:basedOn w:val="Normal"/>
    <w:link w:val="TekstfusnoteChar"/>
    <w:uiPriority w:val="99"/>
    <w:qFormat/>
    <w:pPr>
      <w:spacing w:after="120"/>
      <w:ind w:left="357" w:hanging="357"/>
    </w:pPr>
    <w:rPr>
      <w:sz w:val="20"/>
    </w:rPr>
  </w:style>
  <w:style w:type="character" w:customStyle="1" w:styleId="TekstfusnoteChar">
    <w:name w:val="Tekst fusnote Char"/>
    <w:aliases w:val="Footnote Char,Schriftart: 9 pt Char,Schriftart: 10 pt Char,Schriftart: 8 pt Char,WB-Fußnotentext Char,Footnote Text Char2 Char,Footnote Text Char1 Char Char,Footnote Text Char2 Char Char Char,Footnote Text Char1 Char Char Char Char"/>
    <w:basedOn w:val="Zadanifontodlomka"/>
    <w:link w:val="Tekstfusnote"/>
    <w:uiPriority w:val="99"/>
    <w:qFormat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Line">
    <w:name w:val="Footer Line"/>
    <w:basedOn w:val="Podnoje"/>
    <w:next w:val="Podnoje"/>
    <w:uiPriority w:val="99"/>
    <w:pPr>
      <w:tabs>
        <w:tab w:val="right" w:pos="8646"/>
      </w:tabs>
      <w:spacing w:before="120"/>
      <w:ind w:right="0"/>
    </w:p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sz w:val="16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ext1">
    <w:name w:val="Text 1"/>
    <w:basedOn w:val="Normal"/>
    <w:qFormat/>
    <w:pPr>
      <w:ind w:left="482"/>
    </w:pPr>
  </w:style>
  <w:style w:type="paragraph" w:customStyle="1" w:styleId="Text2">
    <w:name w:val="Text 2"/>
    <w:basedOn w:val="Normal"/>
    <w:uiPriority w:val="90"/>
    <w:qFormat/>
    <w:pPr>
      <w:ind w:left="1077"/>
    </w:pPr>
  </w:style>
  <w:style w:type="paragraph" w:customStyle="1" w:styleId="Text3">
    <w:name w:val="Text 3"/>
    <w:basedOn w:val="Normal"/>
    <w:uiPriority w:val="90"/>
    <w:qFormat/>
    <w:pPr>
      <w:ind w:left="1916"/>
    </w:pPr>
  </w:style>
  <w:style w:type="paragraph" w:styleId="Zaglavlje">
    <w:name w:val="header"/>
    <w:basedOn w:val="Normal"/>
    <w:link w:val="ZaglavljeChar"/>
    <w:pPr>
      <w:tabs>
        <w:tab w:val="center" w:pos="4150"/>
        <w:tab w:val="right" w:pos="8306"/>
      </w:tabs>
      <w:spacing w:after="0"/>
    </w:pPr>
  </w:style>
  <w:style w:type="character" w:customStyle="1" w:styleId="ZaglavljeChar">
    <w:name w:val="Zaglavlje Char"/>
    <w:basedOn w:val="Zadanifontodlomka"/>
    <w:link w:val="Zaglavlj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Odlomakpopisa">
    <w:name w:val="List Paragraph"/>
    <w:aliases w:val="Conclusion de partie,Dot pt,No Spacing1,List Paragraph Char Char Char,Indicator Text,Numbered Para 1,List Paragraph1,Bullet Points,MAIN CONTENT,List Paragraph12,List Paragraph11,OBC Bullet,F5 List Paragraph,Colorful List - Accent 11"/>
    <w:basedOn w:val="Normal"/>
    <w:link w:val="OdlomakpopisaChar"/>
    <w:uiPriority w:val="34"/>
    <w:qFormat/>
    <w:pPr>
      <w:spacing w:after="0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Referencafusnote">
    <w:name w:val="footnote reference"/>
    <w:aliases w:val="Footnote symbol,Footnote Reference Superscript,BVI fnr,SUPERS,Footnote reference number,Footnote number,note TESI,EN Footnote Reference,Times 10 Point,Exposant 3 Point,-E Fußnotenzeichen,Fußnotenzeichen2,fr, BVI fnr,E FNZ"/>
    <w:basedOn w:val="Zadanifontodlomka"/>
    <w:link w:val="AppelnotedebasdepageCharCharCharCharCharCharChar"/>
    <w:uiPriority w:val="99"/>
    <w:qFormat/>
    <w:rPr>
      <w:vertAlign w:val="superscript"/>
    </w:rPr>
  </w:style>
  <w:style w:type="paragraph" w:customStyle="1" w:styleId="AppelnotedebasdepageCharCharCharCharCharCharChar">
    <w:name w:val="Appel note de bas de page Char Char Char Char Char Char Char"/>
    <w:basedOn w:val="Normal"/>
    <w:link w:val="Referencafusnote"/>
    <w:uiPriority w:val="99"/>
    <w:pPr>
      <w:spacing w:after="0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Marker">
    <w:name w:val="Marker"/>
    <w:basedOn w:val="Zadanifontodlomka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Naslov1Char"/>
    <w:link w:val="FooterCoverPage"/>
    <w:rPr>
      <w:rFonts w:ascii="Times New Roman" w:eastAsia="Times New Roman" w:hAnsi="Times New Roman" w:cs="Times New Roman"/>
      <w:b w:val="0"/>
      <w:smallCaps w:val="0"/>
      <w:sz w:val="24"/>
      <w:szCs w:val="20"/>
      <w:lang w:val="hr-HR"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Naslov1Char"/>
    <w:link w:val="FooterSensitivity"/>
    <w:rPr>
      <w:rFonts w:ascii="Times New Roman" w:eastAsia="Times New Roman" w:hAnsi="Times New Roman" w:cs="Times New Roman"/>
      <w:b/>
      <w:smallCaps w:val="0"/>
      <w:sz w:val="32"/>
      <w:szCs w:val="20"/>
      <w:lang w:val="hr-HR"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Naslov1Char"/>
    <w:link w:val="HeaderCoverPage"/>
    <w:rPr>
      <w:rFonts w:ascii="Times New Roman" w:eastAsia="Times New Roman" w:hAnsi="Times New Roman" w:cs="Times New Roman"/>
      <w:b w:val="0"/>
      <w:smallCaps w:val="0"/>
      <w:sz w:val="24"/>
      <w:szCs w:val="20"/>
      <w:lang w:val="hr-HR" w:eastAsia="en-GB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Naslov1Char"/>
    <w:link w:val="HeaderSensitivity"/>
    <w:rPr>
      <w:rFonts w:ascii="Times New Roman" w:eastAsia="Times New Roman" w:hAnsi="Times New Roman" w:cs="Times New Roman"/>
      <w:b/>
      <w:smallCaps w:val="0"/>
      <w:sz w:val="32"/>
      <w:szCs w:val="20"/>
      <w:lang w:val="hr-HR" w:eastAsia="en-GB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Naslov1Char"/>
    <w:link w:val="HeaderSensitivityRight"/>
    <w:rPr>
      <w:rFonts w:ascii="Times New Roman" w:eastAsia="Times New Roman" w:hAnsi="Times New Roman" w:cs="Times New Roman"/>
      <w:b w:val="0"/>
      <w:smallCaps w:val="0"/>
      <w:sz w:val="28"/>
      <w:szCs w:val="20"/>
      <w:lang w:val="hr-HR" w:eastAsia="en-GB"/>
    </w:rPr>
  </w:style>
  <w:style w:type="paragraph" w:customStyle="1" w:styleId="YReferences">
    <w:name w:val="YReferences"/>
    <w:basedOn w:val="Normal"/>
    <w:uiPriority w:val="2"/>
    <w:pPr>
      <w:spacing w:after="480"/>
      <w:ind w:left="1531" w:hanging="1531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table" w:customStyle="1" w:styleId="TableHistory">
    <w:name w:val="Table History"/>
    <w:basedOn w:val="Obinatablica"/>
    <w:semiHidden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</w:style>
  <w:style w:type="paragraph" w:customStyle="1" w:styleId="paragraph">
    <w:name w:val="paragraph"/>
    <w:basedOn w:val="Normal"/>
    <w:pPr>
      <w:spacing w:before="100" w:beforeAutospacing="1" w:after="100" w:afterAutospacing="1"/>
      <w:jc w:val="left"/>
    </w:pPr>
    <w:rPr>
      <w:szCs w:val="24"/>
    </w:rPr>
  </w:style>
  <w:style w:type="character" w:customStyle="1" w:styleId="eop">
    <w:name w:val="eop"/>
    <w:basedOn w:val="Zadanifontodlomka"/>
  </w:style>
  <w:style w:type="character" w:customStyle="1" w:styleId="OdlomakpopisaChar">
    <w:name w:val="Odlomak popisa Char"/>
    <w:aliases w:val="Conclusion de partie Char,Dot pt Char,No Spacing1 Char,List Paragraph Char Char Char Char,Indicator Text Char,Numbered Para 1 Char,List Paragraph1 Char,Bullet Points Char,MAIN CONTENT Char,List Paragraph12 Char,List Paragraph11 Char"/>
    <w:basedOn w:val="Zadanifontodlomka"/>
    <w:link w:val="Odlomakpopisa"/>
    <w:uiPriority w:val="34"/>
    <w:qFormat/>
    <w:locked/>
    <w:rPr>
      <w:rFonts w:ascii="Calibri" w:hAnsi="Calibri" w:cs="Calibri"/>
    </w:rPr>
  </w:style>
  <w:style w:type="paragraph" w:customStyle="1" w:styleId="Briefinglist1">
    <w:name w:val="Briefing list 1"/>
    <w:basedOn w:val="Normal"/>
    <w:link w:val="Briefinglist1Char"/>
    <w:qFormat/>
    <w:pPr>
      <w:keepLines/>
      <w:numPr>
        <w:numId w:val="7"/>
      </w:numPr>
      <w:spacing w:after="120"/>
    </w:pPr>
    <w:rPr>
      <w:rFonts w:ascii="Arial" w:hAnsi="Arial"/>
      <w:sz w:val="22"/>
      <w:szCs w:val="24"/>
    </w:rPr>
  </w:style>
  <w:style w:type="character" w:customStyle="1" w:styleId="Briefinglist1Char">
    <w:name w:val="Briefing list 1 Char"/>
    <w:basedOn w:val="Zadanifontodlomka"/>
    <w:link w:val="Briefinglist1"/>
    <w:qFormat/>
    <w:rPr>
      <w:rFonts w:ascii="Arial" w:eastAsia="Times New Roman" w:hAnsi="Arial" w:cs="Times New Roman"/>
      <w:szCs w:val="24"/>
      <w:lang w:val="hr-HR" w:eastAsia="en-GB"/>
    </w:rPr>
  </w:style>
  <w:style w:type="paragraph" w:styleId="Obinitekst">
    <w:name w:val="Plain Text"/>
    <w:basedOn w:val="Normal"/>
    <w:link w:val="ObinitekstChar"/>
    <w:uiPriority w:val="99"/>
    <w:unhideWhenUsed/>
    <w:pPr>
      <w:spacing w:after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Pr>
      <w:rFonts w:ascii="Calibri" w:hAnsi="Calibri" w:cs="Calibri"/>
    </w:rPr>
  </w:style>
  <w:style w:type="paragraph" w:styleId="Revizij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szCs w:val="24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/>
    </w:pPr>
    <w:rPr>
      <w:rFonts w:eastAsiaTheme="minorHAnsi"/>
      <w:szCs w:val="22"/>
      <w:lang w:eastAsia="en-US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  <w:jc w:val="left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pPr>
      <w:spacing w:after="0"/>
    </w:pPr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Pr>
      <w:rFonts w:ascii="Times New Roman" w:eastAsia="Times New Roman" w:hAnsi="Times New Roman" w:cs="Times New Roman"/>
      <w:sz w:val="20"/>
      <w:szCs w:val="20"/>
      <w:lang w:val="hr-HR" w:eastAsia="en-GB"/>
    </w:rPr>
  </w:style>
  <w:style w:type="character" w:styleId="Referencakrajnjebiljeke">
    <w:name w:val="endnote reference"/>
    <w:basedOn w:val="Zadanifontodlomka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0" w:unhideWhenUsed="0" w:qFormat="1"/>
    <w:lsdException w:name="heading 1" w:semiHidden="0" w:uiPriority="90" w:unhideWhenUsed="0" w:qFormat="1"/>
    <w:lsdException w:name="heading 2" w:uiPriority="9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0"/>
    <w:qFormat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aslov1">
    <w:name w:val="heading 1"/>
    <w:basedOn w:val="Normal"/>
    <w:next w:val="Text1"/>
    <w:link w:val="Naslov1Char"/>
    <w:uiPriority w:val="90"/>
    <w:qFormat/>
    <w:pPr>
      <w:keepNext/>
      <w:tabs>
        <w:tab w:val="num" w:pos="482"/>
      </w:tabs>
      <w:spacing w:before="240"/>
      <w:ind w:left="482" w:hanging="482"/>
      <w:outlineLvl w:val="0"/>
    </w:pPr>
    <w:rPr>
      <w:b/>
      <w:smallCaps/>
    </w:rPr>
  </w:style>
  <w:style w:type="paragraph" w:styleId="Naslov2">
    <w:name w:val="heading 2"/>
    <w:basedOn w:val="Normal"/>
    <w:next w:val="Text2"/>
    <w:link w:val="Naslov2Char"/>
    <w:uiPriority w:val="90"/>
    <w:qFormat/>
    <w:pPr>
      <w:keepNext/>
      <w:tabs>
        <w:tab w:val="num" w:pos="2013"/>
      </w:tabs>
      <w:ind w:left="2013" w:hanging="595"/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uiPriority w:val="90"/>
    <w:qFormat/>
    <w:pPr>
      <w:keepNext/>
      <w:tabs>
        <w:tab w:val="num" w:pos="1922"/>
      </w:tabs>
      <w:ind w:left="1922" w:hanging="845"/>
      <w:jc w:val="left"/>
      <w:outlineLvl w:val="2"/>
    </w:pPr>
    <w:rPr>
      <w:b/>
      <w:i/>
    </w:rPr>
  </w:style>
  <w:style w:type="paragraph" w:styleId="Naslov4">
    <w:name w:val="heading 4"/>
    <w:basedOn w:val="Normal"/>
    <w:next w:val="Normal"/>
    <w:link w:val="Naslov4Char"/>
    <w:uiPriority w:val="90"/>
    <w:qFormat/>
    <w:pPr>
      <w:keepNext/>
      <w:tabs>
        <w:tab w:val="num" w:pos="2880"/>
      </w:tabs>
      <w:ind w:left="2880" w:hanging="958"/>
      <w:outlineLvl w:val="3"/>
    </w:pPr>
  </w:style>
  <w:style w:type="paragraph" w:styleId="Naslov5">
    <w:name w:val="heading 5"/>
    <w:basedOn w:val="Normal"/>
    <w:next w:val="Normal"/>
    <w:link w:val="Naslov5Char"/>
    <w:semiHidden/>
    <w:pPr>
      <w:keepNext/>
      <w:tabs>
        <w:tab w:val="num" w:pos="2880"/>
      </w:tabs>
      <w:ind w:left="3838" w:hanging="958"/>
      <w:outlineLvl w:val="4"/>
    </w:pPr>
  </w:style>
  <w:style w:type="paragraph" w:styleId="Naslov6">
    <w:name w:val="heading 6"/>
    <w:basedOn w:val="Normal"/>
    <w:next w:val="Normal"/>
    <w:link w:val="Naslov6Char"/>
    <w:semiHidden/>
    <w:pPr>
      <w:keepNext/>
      <w:tabs>
        <w:tab w:val="num" w:pos="2880"/>
      </w:tabs>
      <w:ind w:left="3838" w:hanging="958"/>
      <w:outlineLvl w:val="5"/>
    </w:pPr>
  </w:style>
  <w:style w:type="paragraph" w:styleId="Naslov7">
    <w:name w:val="heading 7"/>
    <w:basedOn w:val="Normal"/>
    <w:next w:val="Normal"/>
    <w:link w:val="Naslov7Char"/>
    <w:semiHidden/>
    <w:pPr>
      <w:keepNext/>
      <w:tabs>
        <w:tab w:val="num" w:pos="2880"/>
      </w:tabs>
      <w:ind w:left="3838" w:hanging="958"/>
      <w:outlineLvl w:val="6"/>
    </w:pPr>
  </w:style>
  <w:style w:type="paragraph" w:styleId="Naslov8">
    <w:name w:val="heading 8"/>
    <w:basedOn w:val="Normal"/>
    <w:next w:val="Normal"/>
    <w:link w:val="Naslov8Char"/>
    <w:semiHidden/>
    <w:pPr>
      <w:keepNext/>
      <w:tabs>
        <w:tab w:val="num" w:pos="2880"/>
      </w:tabs>
      <w:ind w:left="3838" w:hanging="958"/>
      <w:outlineLvl w:val="7"/>
    </w:pPr>
  </w:style>
  <w:style w:type="paragraph" w:styleId="Naslov9">
    <w:name w:val="heading 9"/>
    <w:basedOn w:val="Normal"/>
    <w:next w:val="Normal"/>
    <w:link w:val="Naslov9Char"/>
    <w:semiHidden/>
    <w:pPr>
      <w:keepNext/>
      <w:tabs>
        <w:tab w:val="num" w:pos="2880"/>
      </w:tabs>
      <w:ind w:left="3838" w:hanging="958"/>
      <w:outlineLvl w:val="8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0"/>
    <w:rPr>
      <w:rFonts w:ascii="Times New Roman" w:eastAsia="Times New Roman" w:hAnsi="Times New Roman" w:cs="Times New Roman"/>
      <w:b/>
      <w:smallCaps/>
      <w:sz w:val="24"/>
      <w:szCs w:val="20"/>
      <w:lang w:val="hr-HR" w:eastAsia="en-GB"/>
    </w:rPr>
  </w:style>
  <w:style w:type="character" w:customStyle="1" w:styleId="Naslov2Char">
    <w:name w:val="Naslov 2 Char"/>
    <w:basedOn w:val="Zadanifontodlomka"/>
    <w:link w:val="Naslov2"/>
    <w:uiPriority w:val="90"/>
    <w:rPr>
      <w:rFonts w:ascii="Times New Roman" w:eastAsia="Times New Roman" w:hAnsi="Times New Roman" w:cs="Times New Roman"/>
      <w:b/>
      <w:sz w:val="24"/>
      <w:szCs w:val="20"/>
      <w:lang w:val="hr-HR" w:eastAsia="en-GB"/>
    </w:rPr>
  </w:style>
  <w:style w:type="character" w:customStyle="1" w:styleId="Naslov3Char">
    <w:name w:val="Naslov 3 Char"/>
    <w:basedOn w:val="Zadanifontodlomka"/>
    <w:link w:val="Naslov3"/>
    <w:uiPriority w:val="90"/>
    <w:rPr>
      <w:rFonts w:ascii="Times New Roman" w:eastAsia="Times New Roman" w:hAnsi="Times New Roman" w:cs="Times New Roman"/>
      <w:b/>
      <w:i/>
      <w:sz w:val="24"/>
      <w:szCs w:val="20"/>
      <w:lang w:val="hr-HR" w:eastAsia="en-GB"/>
    </w:rPr>
  </w:style>
  <w:style w:type="character" w:customStyle="1" w:styleId="Naslov4Char">
    <w:name w:val="Naslov 4 Char"/>
    <w:basedOn w:val="Zadanifontodlomka"/>
    <w:link w:val="Naslov4"/>
    <w:uiPriority w:val="90"/>
    <w:rPr>
      <w:rFonts w:ascii="Times New Roman" w:eastAsia="Times New Roman" w:hAnsi="Times New Roman" w:cs="Times New Roman"/>
      <w:sz w:val="24"/>
      <w:szCs w:val="20"/>
      <w:lang w:val="hr-HR" w:eastAsia="en-GB"/>
    </w:rPr>
  </w:style>
  <w:style w:type="character" w:customStyle="1" w:styleId="Naslov5Char">
    <w:name w:val="Naslov 5 Char"/>
    <w:basedOn w:val="Zadanifontodlomka"/>
    <w:link w:val="Naslov5"/>
    <w:semiHidden/>
    <w:rPr>
      <w:rFonts w:ascii="Times New Roman" w:eastAsia="Times New Roman" w:hAnsi="Times New Roman" w:cs="Times New Roman"/>
      <w:sz w:val="24"/>
      <w:szCs w:val="20"/>
      <w:lang w:val="hr-HR" w:eastAsia="en-GB"/>
    </w:rPr>
  </w:style>
  <w:style w:type="character" w:customStyle="1" w:styleId="Naslov6Char">
    <w:name w:val="Naslov 6 Char"/>
    <w:basedOn w:val="Zadanifontodlomka"/>
    <w:link w:val="Naslov6"/>
    <w:semiHidden/>
    <w:rPr>
      <w:rFonts w:ascii="Times New Roman" w:eastAsia="Times New Roman" w:hAnsi="Times New Roman" w:cs="Times New Roman"/>
      <w:sz w:val="24"/>
      <w:szCs w:val="20"/>
      <w:lang w:val="hr-HR" w:eastAsia="en-GB"/>
    </w:rPr>
  </w:style>
  <w:style w:type="character" w:customStyle="1" w:styleId="Naslov7Char">
    <w:name w:val="Naslov 7 Char"/>
    <w:basedOn w:val="Zadanifontodlomka"/>
    <w:link w:val="Naslov7"/>
    <w:semiHidden/>
    <w:rPr>
      <w:rFonts w:ascii="Times New Roman" w:eastAsia="Times New Roman" w:hAnsi="Times New Roman" w:cs="Times New Roman"/>
      <w:sz w:val="24"/>
      <w:szCs w:val="20"/>
      <w:lang w:val="hr-HR" w:eastAsia="en-GB"/>
    </w:rPr>
  </w:style>
  <w:style w:type="character" w:customStyle="1" w:styleId="Naslov8Char">
    <w:name w:val="Naslov 8 Char"/>
    <w:basedOn w:val="Zadanifontodlomka"/>
    <w:link w:val="Naslov8"/>
    <w:semiHidden/>
    <w:rPr>
      <w:rFonts w:ascii="Times New Roman" w:eastAsia="Times New Roman" w:hAnsi="Times New Roman" w:cs="Times New Roman"/>
      <w:sz w:val="24"/>
      <w:szCs w:val="20"/>
      <w:lang w:val="hr-HR" w:eastAsia="en-GB"/>
    </w:rPr>
  </w:style>
  <w:style w:type="character" w:customStyle="1" w:styleId="Naslov9Char">
    <w:name w:val="Naslov 9 Char"/>
    <w:basedOn w:val="Zadanifontodlomka"/>
    <w:link w:val="Naslov9"/>
    <w:semiHidden/>
    <w:rPr>
      <w:rFonts w:ascii="Times New Roman" w:eastAsia="Times New Roman" w:hAnsi="Times New Roman" w:cs="Times New Roman"/>
      <w:sz w:val="24"/>
      <w:szCs w:val="20"/>
      <w:lang w:val="hr-HR" w:eastAsia="en-GB"/>
    </w:rPr>
  </w:style>
  <w:style w:type="paragraph" w:styleId="Tekstfusnote">
    <w:name w:val="footnote text"/>
    <w:aliases w:val="Footnote,Schriftart: 9 pt,Schriftart: 10 pt,Schriftart: 8 pt,WB-Fußnotentext,Footnote Text Char2,Footnote Text Char1 Char,Footnote Text Char2 Char Char,Footnote Text Char1 Char Char Char,Footnote Text Char2 Char Char Char Char,o,fn,f"/>
    <w:basedOn w:val="Normal"/>
    <w:link w:val="TekstfusnoteChar"/>
    <w:uiPriority w:val="99"/>
    <w:qFormat/>
    <w:pPr>
      <w:spacing w:after="120"/>
      <w:ind w:left="357" w:hanging="357"/>
    </w:pPr>
    <w:rPr>
      <w:sz w:val="20"/>
    </w:rPr>
  </w:style>
  <w:style w:type="character" w:customStyle="1" w:styleId="TekstfusnoteChar">
    <w:name w:val="Tekst fusnote Char"/>
    <w:aliases w:val="Footnote Char,Schriftart: 9 pt Char,Schriftart: 10 pt Char,Schriftart: 8 pt Char,WB-Fußnotentext Char,Footnote Text Char2 Char,Footnote Text Char1 Char Char,Footnote Text Char2 Char Char Char,Footnote Text Char1 Char Char Char Char"/>
    <w:basedOn w:val="Zadanifontodlomka"/>
    <w:link w:val="Tekstfusnote"/>
    <w:uiPriority w:val="99"/>
    <w:qFormat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Line">
    <w:name w:val="Footer Line"/>
    <w:basedOn w:val="Podnoje"/>
    <w:next w:val="Podnoje"/>
    <w:uiPriority w:val="99"/>
    <w:pPr>
      <w:tabs>
        <w:tab w:val="right" w:pos="8646"/>
      </w:tabs>
      <w:spacing w:before="120"/>
      <w:ind w:right="0"/>
    </w:p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sz w:val="16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customStyle="1" w:styleId="Text1">
    <w:name w:val="Text 1"/>
    <w:basedOn w:val="Normal"/>
    <w:qFormat/>
    <w:pPr>
      <w:ind w:left="482"/>
    </w:pPr>
  </w:style>
  <w:style w:type="paragraph" w:customStyle="1" w:styleId="Text2">
    <w:name w:val="Text 2"/>
    <w:basedOn w:val="Normal"/>
    <w:uiPriority w:val="90"/>
    <w:qFormat/>
    <w:pPr>
      <w:ind w:left="1077"/>
    </w:pPr>
  </w:style>
  <w:style w:type="paragraph" w:customStyle="1" w:styleId="Text3">
    <w:name w:val="Text 3"/>
    <w:basedOn w:val="Normal"/>
    <w:uiPriority w:val="90"/>
    <w:qFormat/>
    <w:pPr>
      <w:ind w:left="1916"/>
    </w:pPr>
  </w:style>
  <w:style w:type="paragraph" w:styleId="Zaglavlje">
    <w:name w:val="header"/>
    <w:basedOn w:val="Normal"/>
    <w:link w:val="ZaglavljeChar"/>
    <w:pPr>
      <w:tabs>
        <w:tab w:val="center" w:pos="4150"/>
        <w:tab w:val="right" w:pos="8306"/>
      </w:tabs>
      <w:spacing w:after="0"/>
    </w:pPr>
  </w:style>
  <w:style w:type="character" w:customStyle="1" w:styleId="ZaglavljeChar">
    <w:name w:val="Zaglavlje Char"/>
    <w:basedOn w:val="Zadanifontodlomka"/>
    <w:link w:val="Zaglavlj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Odlomakpopisa">
    <w:name w:val="List Paragraph"/>
    <w:aliases w:val="Conclusion de partie,Dot pt,No Spacing1,List Paragraph Char Char Char,Indicator Text,Numbered Para 1,List Paragraph1,Bullet Points,MAIN CONTENT,List Paragraph12,List Paragraph11,OBC Bullet,F5 List Paragraph,Colorful List - Accent 11"/>
    <w:basedOn w:val="Normal"/>
    <w:link w:val="OdlomakpopisaChar"/>
    <w:uiPriority w:val="34"/>
    <w:qFormat/>
    <w:pPr>
      <w:spacing w:after="0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Referencafusnote">
    <w:name w:val="footnote reference"/>
    <w:aliases w:val="Footnote symbol,Footnote Reference Superscript,BVI fnr,SUPERS,Footnote reference number,Footnote number,note TESI,EN Footnote Reference,Times 10 Point,Exposant 3 Point,-E Fußnotenzeichen,Fußnotenzeichen2,fr, BVI fnr,E FNZ"/>
    <w:basedOn w:val="Zadanifontodlomka"/>
    <w:link w:val="AppelnotedebasdepageCharCharCharCharCharCharChar"/>
    <w:uiPriority w:val="99"/>
    <w:qFormat/>
    <w:rPr>
      <w:vertAlign w:val="superscript"/>
    </w:rPr>
  </w:style>
  <w:style w:type="paragraph" w:customStyle="1" w:styleId="AppelnotedebasdepageCharCharCharCharCharCharChar">
    <w:name w:val="Appel note de bas de page Char Char Char Char Char Char Char"/>
    <w:basedOn w:val="Normal"/>
    <w:link w:val="Referencafusnote"/>
    <w:uiPriority w:val="99"/>
    <w:pPr>
      <w:spacing w:after="0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Marker">
    <w:name w:val="Marker"/>
    <w:basedOn w:val="Zadanifontodlomka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Naslov1Char"/>
    <w:link w:val="FooterCoverPage"/>
    <w:rPr>
      <w:rFonts w:ascii="Times New Roman" w:eastAsia="Times New Roman" w:hAnsi="Times New Roman" w:cs="Times New Roman"/>
      <w:b w:val="0"/>
      <w:smallCaps w:val="0"/>
      <w:sz w:val="24"/>
      <w:szCs w:val="20"/>
      <w:lang w:val="hr-HR"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Naslov1Char"/>
    <w:link w:val="FooterSensitivity"/>
    <w:rPr>
      <w:rFonts w:ascii="Times New Roman" w:eastAsia="Times New Roman" w:hAnsi="Times New Roman" w:cs="Times New Roman"/>
      <w:b/>
      <w:smallCaps w:val="0"/>
      <w:sz w:val="32"/>
      <w:szCs w:val="20"/>
      <w:lang w:val="hr-HR"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Naslov1Char"/>
    <w:link w:val="HeaderCoverPage"/>
    <w:rPr>
      <w:rFonts w:ascii="Times New Roman" w:eastAsia="Times New Roman" w:hAnsi="Times New Roman" w:cs="Times New Roman"/>
      <w:b w:val="0"/>
      <w:smallCaps w:val="0"/>
      <w:sz w:val="24"/>
      <w:szCs w:val="20"/>
      <w:lang w:val="hr-HR" w:eastAsia="en-GB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Naslov1Char"/>
    <w:link w:val="HeaderSensitivity"/>
    <w:rPr>
      <w:rFonts w:ascii="Times New Roman" w:eastAsia="Times New Roman" w:hAnsi="Times New Roman" w:cs="Times New Roman"/>
      <w:b/>
      <w:smallCaps w:val="0"/>
      <w:sz w:val="32"/>
      <w:szCs w:val="20"/>
      <w:lang w:val="hr-HR" w:eastAsia="en-GB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Naslov1Char"/>
    <w:link w:val="HeaderSensitivityRight"/>
    <w:rPr>
      <w:rFonts w:ascii="Times New Roman" w:eastAsia="Times New Roman" w:hAnsi="Times New Roman" w:cs="Times New Roman"/>
      <w:b w:val="0"/>
      <w:smallCaps w:val="0"/>
      <w:sz w:val="28"/>
      <w:szCs w:val="20"/>
      <w:lang w:val="hr-HR" w:eastAsia="en-GB"/>
    </w:rPr>
  </w:style>
  <w:style w:type="paragraph" w:customStyle="1" w:styleId="YReferences">
    <w:name w:val="YReferences"/>
    <w:basedOn w:val="Normal"/>
    <w:uiPriority w:val="2"/>
    <w:pPr>
      <w:spacing w:after="480"/>
      <w:ind w:left="1531" w:hanging="1531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table" w:customStyle="1" w:styleId="TableHistory">
    <w:name w:val="Table History"/>
    <w:basedOn w:val="Obinatablica"/>
    <w:semiHidden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</w:style>
  <w:style w:type="paragraph" w:customStyle="1" w:styleId="paragraph">
    <w:name w:val="paragraph"/>
    <w:basedOn w:val="Normal"/>
    <w:pPr>
      <w:spacing w:before="100" w:beforeAutospacing="1" w:after="100" w:afterAutospacing="1"/>
      <w:jc w:val="left"/>
    </w:pPr>
    <w:rPr>
      <w:szCs w:val="24"/>
    </w:rPr>
  </w:style>
  <w:style w:type="character" w:customStyle="1" w:styleId="eop">
    <w:name w:val="eop"/>
    <w:basedOn w:val="Zadanifontodlomka"/>
  </w:style>
  <w:style w:type="character" w:customStyle="1" w:styleId="OdlomakpopisaChar">
    <w:name w:val="Odlomak popisa Char"/>
    <w:aliases w:val="Conclusion de partie Char,Dot pt Char,No Spacing1 Char,List Paragraph Char Char Char Char,Indicator Text Char,Numbered Para 1 Char,List Paragraph1 Char,Bullet Points Char,MAIN CONTENT Char,List Paragraph12 Char,List Paragraph11 Char"/>
    <w:basedOn w:val="Zadanifontodlomka"/>
    <w:link w:val="Odlomakpopisa"/>
    <w:uiPriority w:val="34"/>
    <w:qFormat/>
    <w:locked/>
    <w:rPr>
      <w:rFonts w:ascii="Calibri" w:hAnsi="Calibri" w:cs="Calibri"/>
    </w:rPr>
  </w:style>
  <w:style w:type="paragraph" w:customStyle="1" w:styleId="Briefinglist1">
    <w:name w:val="Briefing list 1"/>
    <w:basedOn w:val="Normal"/>
    <w:link w:val="Briefinglist1Char"/>
    <w:qFormat/>
    <w:pPr>
      <w:keepLines/>
      <w:numPr>
        <w:numId w:val="7"/>
      </w:numPr>
      <w:spacing w:after="120"/>
    </w:pPr>
    <w:rPr>
      <w:rFonts w:ascii="Arial" w:hAnsi="Arial"/>
      <w:sz w:val="22"/>
      <w:szCs w:val="24"/>
    </w:rPr>
  </w:style>
  <w:style w:type="character" w:customStyle="1" w:styleId="Briefinglist1Char">
    <w:name w:val="Briefing list 1 Char"/>
    <w:basedOn w:val="Zadanifontodlomka"/>
    <w:link w:val="Briefinglist1"/>
    <w:qFormat/>
    <w:rPr>
      <w:rFonts w:ascii="Arial" w:eastAsia="Times New Roman" w:hAnsi="Arial" w:cs="Times New Roman"/>
      <w:szCs w:val="24"/>
      <w:lang w:val="hr-HR" w:eastAsia="en-GB"/>
    </w:rPr>
  </w:style>
  <w:style w:type="paragraph" w:styleId="Obinitekst">
    <w:name w:val="Plain Text"/>
    <w:basedOn w:val="Normal"/>
    <w:link w:val="ObinitekstChar"/>
    <w:uiPriority w:val="99"/>
    <w:unhideWhenUsed/>
    <w:pPr>
      <w:spacing w:after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Pr>
      <w:rFonts w:ascii="Calibri" w:hAnsi="Calibri" w:cs="Calibri"/>
    </w:rPr>
  </w:style>
  <w:style w:type="paragraph" w:styleId="Revizij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szCs w:val="24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/>
    </w:pPr>
    <w:rPr>
      <w:rFonts w:eastAsiaTheme="minorHAnsi"/>
      <w:szCs w:val="22"/>
      <w:lang w:eastAsia="en-US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  <w:jc w:val="left"/>
    </w:pPr>
    <w:rPr>
      <w:rFonts w:eastAsiaTheme="minorHAnsi"/>
      <w:sz w:val="28"/>
      <w:szCs w:val="22"/>
      <w:lang w:eastAsia="en-US"/>
    </w:rPr>
  </w:style>
  <w:style w:type="paragraph" w:customStyle="1" w:styleId="DateMarking">
    <w:name w:val="DateMarking"/>
    <w:basedOn w:val="Normal"/>
    <w:pPr>
      <w:spacing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paragraph" w:customStyle="1" w:styleId="ReleasableTo">
    <w:name w:val="ReleasableTo"/>
    <w:basedOn w:val="Normal"/>
    <w:pPr>
      <w:spacing w:after="0" w:line="276" w:lineRule="auto"/>
      <w:ind w:left="5103"/>
      <w:jc w:val="left"/>
    </w:pPr>
    <w:rPr>
      <w:rFonts w:eastAsiaTheme="minorHAnsi"/>
      <w:i/>
      <w:sz w:val="28"/>
      <w:szCs w:val="22"/>
      <w:lang w:eastAsia="en-US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pPr>
      <w:spacing w:after="0"/>
    </w:pPr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Pr>
      <w:rFonts w:ascii="Times New Roman" w:eastAsia="Times New Roman" w:hAnsi="Times New Roman" w:cs="Times New Roman"/>
      <w:sz w:val="20"/>
      <w:szCs w:val="20"/>
      <w:lang w:val="hr-HR" w:eastAsia="en-GB"/>
    </w:rPr>
  </w:style>
  <w:style w:type="character" w:styleId="Referencakrajnjebiljeke">
    <w:name w:val="endnote reference"/>
    <w:basedOn w:val="Zadanifontodlomka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0.jpeg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9.jp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image" Target="media/image13.jpeg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strategy/priorities-2019-2024/european-green-deal_hr" TargetMode="External"/><Relationship Id="rId13" Type="http://schemas.openxmlformats.org/officeDocument/2006/relationships/hyperlink" Target="https://www.un.org/development/desa/disabilities/convention-on-the-rights-of-persons-with-disabilities.html" TargetMode="External"/><Relationship Id="rId18" Type="http://schemas.openxmlformats.org/officeDocument/2006/relationships/hyperlink" Target="https://ruralsharedmobility.eu/wp-content/uploads/2021/01/SMARTA-2nd-Brochure-EN.pdf" TargetMode="External"/><Relationship Id="rId3" Type="http://schemas.openxmlformats.org/officeDocument/2006/relationships/hyperlink" Target="https://ec.europa.eu/info/strategy/priorities-2019-2024/europe-fit-digital-age/europes-digital-decade-digital-targets-2030_hr" TargetMode="External"/><Relationship Id="rId21" Type="http://schemas.openxmlformats.org/officeDocument/2006/relationships/hyperlink" Target="https://enrd.ec.europa.eu/sites/default/files/cork-declaration_hr.pdf" TargetMode="External"/><Relationship Id="rId7" Type="http://schemas.openxmlformats.org/officeDocument/2006/relationships/hyperlink" Target="https://doi.org/10.1787/83025c02-en" TargetMode="External"/><Relationship Id="rId12" Type="http://schemas.openxmlformats.org/officeDocument/2006/relationships/hyperlink" Target="https://ec.europa.eu/info/strategy/priorities-2019-2024/economy-works-people/jobs-growth-and-investment/european-pillar-social-rights/european-pillar-social-rights-20-principles_hr" TargetMode="External"/><Relationship Id="rId17" Type="http://schemas.openxmlformats.org/officeDocument/2006/relationships/hyperlink" Target="https://www.eltis.org/sites/default/files/sump_guidelines_2019_interactive_document_1.pdf" TargetMode="External"/><Relationship Id="rId2" Type="http://schemas.openxmlformats.org/officeDocument/2006/relationships/hyperlink" Target="https://eur-lex.europa.eu/legal-content/HR/TXT/?qid=1590404602495&amp;uri=CELEX:52020DC0381" TargetMode="External"/><Relationship Id="rId16" Type="http://schemas.openxmlformats.org/officeDocument/2006/relationships/hyperlink" Target="https://ec.europa.eu/info/business-economy-euro/recovery-coronavirus/recovery-and-resilience-facility_hr" TargetMode="External"/><Relationship Id="rId20" Type="http://schemas.openxmlformats.org/officeDocument/2006/relationships/hyperlink" Target="https://publications.jrc.ec.europa.eu/repository/handle/JRC121262" TargetMode="External"/><Relationship Id="rId1" Type="http://schemas.openxmlformats.org/officeDocument/2006/relationships/hyperlink" Target="https://migration-demography-tools.jrc.ec.europa.eu/atlas-demography/" TargetMode="External"/><Relationship Id="rId6" Type="http://schemas.openxmlformats.org/officeDocument/2006/relationships/hyperlink" Target="https://ec.europa.eu/eurostat/statistics-explained/index.php?title=File:Share_of_people_at_risk_of_poverty_or_social_exclusion,_analysed_by_degree_of_urbanisation,_2019_(%25)_LCIE20.png" TargetMode="External"/><Relationship Id="rId11" Type="http://schemas.openxmlformats.org/officeDocument/2006/relationships/hyperlink" Target="https://ec.europa.eu/commission/commissioners/2019-2024/suica/announcements/launch-global-eu-campaign-rural-50-strategy_en" TargetMode="External"/><Relationship Id="rId24" Type="http://schemas.openxmlformats.org/officeDocument/2006/relationships/hyperlink" Target="https://www.espon.eu/programme/espon/espon-2020-cooperation-programme" TargetMode="External"/><Relationship Id="rId5" Type="http://schemas.openxmlformats.org/officeDocument/2006/relationships/hyperlink" Target="https://www.territorialagenda.eu/files/agenda_theme/agenda_data/Territorial%20Agenda%20documents/TerritorialAgenda2030_201201.pdf" TargetMode="External"/><Relationship Id="rId15" Type="http://schemas.openxmlformats.org/officeDocument/2006/relationships/hyperlink" Target="https://ec.europa.eu/info/food-farming-fisheries/key-policies/common-agricultural-policy/cap-glance_hr" TargetMode="External"/><Relationship Id="rId23" Type="http://schemas.openxmlformats.org/officeDocument/2006/relationships/hyperlink" Target="https://knowledge4policy.ec.europa.eu/territorial_en" TargetMode="External"/><Relationship Id="rId10" Type="http://schemas.openxmlformats.org/officeDocument/2006/relationships/hyperlink" Target="https://doi.org/10.3390/su12114507" TargetMode="External"/><Relationship Id="rId19" Type="http://schemas.openxmlformats.org/officeDocument/2006/relationships/hyperlink" Target="https://europa.eu/new-european-bauhaus/index_hr" TargetMode="External"/><Relationship Id="rId4" Type="http://schemas.openxmlformats.org/officeDocument/2006/relationships/hyperlink" Target="https://ec.europa.eu/info/strategy/priorities-2019-2024/economy-works-people/jobs-growth-and-investment/european-pillar-social-rights_hr" TargetMode="External"/><Relationship Id="rId9" Type="http://schemas.openxmlformats.org/officeDocument/2006/relationships/hyperlink" Target="https://s3platform.jrc.ec.europa.eu/what-is-smart-specialisation-" TargetMode="External"/><Relationship Id="rId14" Type="http://schemas.openxmlformats.org/officeDocument/2006/relationships/hyperlink" Target="https://op.europa.eu/en/publication-detail/-/publication/54a1e679-f634-11ea-991b-01aa75ed71a1/language-en" TargetMode="External"/><Relationship Id="rId22" Type="http://schemas.openxmlformats.org/officeDocument/2006/relationships/hyperlink" Target="https://ec.europa.eu/commission/presscorner/detail/hr/qanda_21_1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D548139-9F90-415B-A38F-5D0AACDF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8072</Words>
  <Characters>50668</Characters>
  <Application>Microsoft Office Word</Application>
  <DocSecurity>4</DocSecurity>
  <Lines>422</Lines>
  <Paragraphs>117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2021-11-04T15:36:00Z</dcterms:created>
  <dcterms:modified xsi:type="dcterms:W3CDTF">2021-11-04T15:36:00Z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7.0.1, Build 20200226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PTemplateID">
    <vt:lpwstr>CP-014</vt:lpwstr>
  </property>
</Properties>
</file>