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C9" w:rsidRPr="00EB24B3" w:rsidRDefault="005C60C9" w:rsidP="005C60C9">
      <w:pPr>
        <w:spacing w:line="276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B24B3">
        <w:rPr>
          <w:rFonts w:ascii="Times New Roman" w:hAnsi="Times New Roman" w:cs="Times New Roman"/>
          <w:b/>
          <w:bCs/>
          <w:sz w:val="24"/>
          <w:szCs w:val="24"/>
        </w:rPr>
        <w:t>010 05 HRVATSKI SABOR</w:t>
      </w:r>
    </w:p>
    <w:p w:rsidR="005C60C9" w:rsidRPr="00EB24B3" w:rsidRDefault="005C60C9" w:rsidP="005C60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B3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</w:t>
      </w:r>
      <w:r w:rsidR="00163A8F" w:rsidRPr="00EB24B3">
        <w:rPr>
          <w:rFonts w:ascii="Times New Roman" w:hAnsi="Times New Roman" w:cs="Times New Roman"/>
          <w:b/>
          <w:sz w:val="24"/>
          <w:szCs w:val="24"/>
        </w:rPr>
        <w:t xml:space="preserve"> ZA 2024. GODINU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4B3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Hrvatski sabor </w:t>
      </w:r>
      <w:r w:rsidR="00163A8F" w:rsidRPr="00EB24B3">
        <w:rPr>
          <w:rFonts w:ascii="Times New Roman" w:hAnsi="Times New Roman" w:cs="Times New Roman"/>
          <w:sz w:val="24"/>
          <w:szCs w:val="24"/>
        </w:rPr>
        <w:t>je u 2024. godini ostvario prihode u ukupnom iznosu 25.495.487,16 eura u okviru sljedećih skupina prihoda:</w:t>
      </w:r>
    </w:p>
    <w:p w:rsidR="005C60C9" w:rsidRPr="00EB24B3" w:rsidRDefault="005C60C9" w:rsidP="00AD343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>u okviru skupine prihoda 66 Prihodi od prodaje proizvoda i robe te pruženih usluga</w:t>
      </w:r>
      <w:r w:rsidR="00163A8F" w:rsidRPr="00EB24B3">
        <w:rPr>
          <w:rFonts w:ascii="Times New Roman" w:hAnsi="Times New Roman" w:cs="Times New Roman"/>
          <w:sz w:val="24"/>
          <w:szCs w:val="24"/>
        </w:rPr>
        <w:t xml:space="preserve">, prihodi od donacija te povrati po protestiranim jamstvima što se veže uz </w:t>
      </w:r>
      <w:r w:rsidRPr="00EB24B3">
        <w:rPr>
          <w:rFonts w:ascii="Times New Roman" w:hAnsi="Times New Roman" w:cs="Times New Roman"/>
          <w:sz w:val="24"/>
          <w:szCs w:val="24"/>
        </w:rPr>
        <w:t>izvor</w:t>
      </w:r>
      <w:r w:rsidR="00163A8F" w:rsidRPr="00EB24B3">
        <w:rPr>
          <w:rFonts w:ascii="Times New Roman" w:hAnsi="Times New Roman" w:cs="Times New Roman"/>
          <w:sz w:val="24"/>
          <w:szCs w:val="24"/>
        </w:rPr>
        <w:t xml:space="preserve"> </w:t>
      </w:r>
      <w:r w:rsidRPr="00EB24B3">
        <w:rPr>
          <w:rFonts w:ascii="Times New Roman" w:hAnsi="Times New Roman" w:cs="Times New Roman"/>
          <w:sz w:val="24"/>
          <w:szCs w:val="24"/>
        </w:rPr>
        <w:t>financiranja 31 Vlastiti prihodi</w:t>
      </w:r>
      <w:r w:rsidR="00163A8F" w:rsidRPr="00EB24B3">
        <w:rPr>
          <w:rFonts w:ascii="Times New Roman" w:hAnsi="Times New Roman" w:cs="Times New Roman"/>
          <w:sz w:val="24"/>
          <w:szCs w:val="24"/>
        </w:rPr>
        <w:t xml:space="preserve"> u iznosu 18.077,25 eura</w:t>
      </w:r>
      <w:r w:rsidRPr="00EB24B3">
        <w:rPr>
          <w:rFonts w:ascii="Times New Roman" w:hAnsi="Times New Roman" w:cs="Times New Roman"/>
          <w:sz w:val="24"/>
          <w:szCs w:val="24"/>
        </w:rPr>
        <w:t xml:space="preserve">. Sredstva se odnose na prihod od najma poslovnog prostora za zdravstvene usluge te na prihod temeljem ugovora sa Hrvatskim telekomom u vezi korištenja tavanskog prostora za telekomunikacijsku infrastrukturu pri čemu </w:t>
      </w:r>
      <w:r w:rsidR="00163A8F" w:rsidRPr="00EB24B3">
        <w:rPr>
          <w:rFonts w:ascii="Times New Roman" w:hAnsi="Times New Roman" w:cs="Times New Roman"/>
          <w:sz w:val="24"/>
          <w:szCs w:val="24"/>
        </w:rPr>
        <w:t>Hrvatski telekom</w:t>
      </w:r>
      <w:r w:rsidRPr="00EB24B3">
        <w:rPr>
          <w:rFonts w:ascii="Times New Roman" w:hAnsi="Times New Roman" w:cs="Times New Roman"/>
          <w:sz w:val="24"/>
          <w:szCs w:val="24"/>
        </w:rPr>
        <w:t xml:space="preserve"> plaća električnu energiju i najam.</w:t>
      </w:r>
    </w:p>
    <w:p w:rsidR="00537836" w:rsidRPr="00EB24B3" w:rsidRDefault="005C60C9" w:rsidP="00004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>u okviru skupine prihoda 67 Prihodi iz proračuna te izvora financiranja 11 Opći prihodi i primici</w:t>
      </w:r>
      <w:r w:rsidR="00163A8F" w:rsidRPr="00EB24B3">
        <w:rPr>
          <w:rFonts w:ascii="Times New Roman" w:hAnsi="Times New Roman" w:cs="Times New Roman"/>
          <w:sz w:val="24"/>
          <w:szCs w:val="24"/>
        </w:rPr>
        <w:t xml:space="preserve"> i izvora financiranja 815 Namjenski primitak - NPOO u ukupnom iznosu 25.477.409,91 eura</w:t>
      </w:r>
      <w:r w:rsidRPr="00EB24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A8F" w:rsidRPr="00EB24B3" w:rsidRDefault="00163A8F" w:rsidP="00163A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C9" w:rsidRPr="00EB24B3" w:rsidRDefault="005C60C9" w:rsidP="0053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4B3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  <w:r w:rsidRPr="00EB24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60C9" w:rsidRPr="00EB24B3" w:rsidRDefault="005C60C9" w:rsidP="00537836">
      <w:pPr>
        <w:pStyle w:val="BodyText"/>
        <w:spacing w:after="0"/>
        <w:jc w:val="both"/>
        <w:rPr>
          <w:sz w:val="24"/>
          <w:szCs w:val="24"/>
        </w:rPr>
      </w:pPr>
      <w:r w:rsidRPr="00EB24B3">
        <w:rPr>
          <w:sz w:val="24"/>
          <w:szCs w:val="24"/>
        </w:rPr>
        <w:t xml:space="preserve">Rashodi Hrvatskoga sabora </w:t>
      </w:r>
      <w:r w:rsidR="00FF3FA0" w:rsidRPr="00EB24B3">
        <w:rPr>
          <w:sz w:val="24"/>
          <w:szCs w:val="24"/>
        </w:rPr>
        <w:t xml:space="preserve">tijekom 2024. godine bili su namijenjeni za </w:t>
      </w:r>
      <w:r w:rsidRPr="00EB24B3">
        <w:rPr>
          <w:sz w:val="24"/>
          <w:szCs w:val="24"/>
        </w:rPr>
        <w:t>ostvarivanje ustavnih, poslovničkih i zakonskih zadaća, pružanje operativne podrške radu zastupnika, provedbu obnove zgrade Hrvatskoga sabora, nastavak modernizacije telekomunikacijskog i informatičkog sustava te podmirenje fiksnih i ugovornih obveza.</w:t>
      </w:r>
    </w:p>
    <w:p w:rsidR="005C60C9" w:rsidRPr="00EB24B3" w:rsidRDefault="005C60C9" w:rsidP="005C60C9">
      <w:pPr>
        <w:pStyle w:val="BodyText"/>
        <w:spacing w:after="0"/>
        <w:jc w:val="both"/>
        <w:rPr>
          <w:sz w:val="24"/>
          <w:szCs w:val="24"/>
        </w:rPr>
      </w:pPr>
    </w:p>
    <w:p w:rsidR="005C60C9" w:rsidRPr="00EB24B3" w:rsidRDefault="005C60C9" w:rsidP="005C60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FF3FA0" w:rsidRPr="00EB24B3">
        <w:rPr>
          <w:rFonts w:ascii="Times New Roman" w:hAnsi="Times New Roman" w:cs="Times New Roman"/>
          <w:sz w:val="24"/>
          <w:szCs w:val="24"/>
        </w:rPr>
        <w:t xml:space="preserve">u </w:t>
      </w:r>
      <w:r w:rsidRPr="00EB24B3">
        <w:rPr>
          <w:rFonts w:ascii="Times New Roman" w:hAnsi="Times New Roman" w:cs="Times New Roman"/>
          <w:sz w:val="24"/>
          <w:szCs w:val="24"/>
        </w:rPr>
        <w:t>2024. godin</w:t>
      </w:r>
      <w:r w:rsidR="00FF3FA0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FF3FA0" w:rsidRPr="00EB24B3">
        <w:rPr>
          <w:rFonts w:ascii="Times New Roman" w:hAnsi="Times New Roman" w:cs="Times New Roman"/>
          <w:sz w:val="24"/>
          <w:szCs w:val="24"/>
        </w:rPr>
        <w:t>25.478.832,46</w:t>
      </w:r>
      <w:r w:rsidRPr="00EB24B3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FF3FA0" w:rsidRPr="00EB24B3">
        <w:rPr>
          <w:rFonts w:ascii="Times New Roman" w:hAnsi="Times New Roman" w:cs="Times New Roman"/>
          <w:sz w:val="24"/>
          <w:szCs w:val="24"/>
        </w:rPr>
        <w:t>71,62</w:t>
      </w:r>
      <w:r w:rsidRPr="00EB24B3">
        <w:rPr>
          <w:rFonts w:ascii="Times New Roman" w:hAnsi="Times New Roman" w:cs="Times New Roman"/>
          <w:sz w:val="24"/>
          <w:szCs w:val="24"/>
        </w:rPr>
        <w:t xml:space="preserve">% ukupno planiranih financijskih sredstava za 2024. godinu. U odnosu na isto razdoblje prethodne godine ukupni rashodi veći su za </w:t>
      </w:r>
      <w:r w:rsidR="00FF3FA0" w:rsidRPr="00EB24B3">
        <w:rPr>
          <w:rFonts w:ascii="Times New Roman" w:hAnsi="Times New Roman" w:cs="Times New Roman"/>
          <w:sz w:val="24"/>
          <w:szCs w:val="24"/>
        </w:rPr>
        <w:t>26,51</w:t>
      </w:r>
      <w:r w:rsidRPr="00EB24B3">
        <w:rPr>
          <w:rFonts w:ascii="Times New Roman" w:hAnsi="Times New Roman" w:cs="Times New Roman"/>
          <w:sz w:val="24"/>
          <w:szCs w:val="24"/>
        </w:rPr>
        <w:t>%.</w:t>
      </w:r>
    </w:p>
    <w:p w:rsidR="005C60C9" w:rsidRPr="00EB24B3" w:rsidRDefault="005C60C9" w:rsidP="0053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4B3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:rsidR="005C60C9" w:rsidRPr="00EB24B3" w:rsidRDefault="005C60C9" w:rsidP="0053783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Rashodi poslovanja </w:t>
      </w:r>
      <w:r w:rsidR="00FF3FA0" w:rsidRPr="00EB24B3">
        <w:rPr>
          <w:rFonts w:ascii="Times New Roman" w:hAnsi="Times New Roman" w:cs="Times New Roman"/>
          <w:sz w:val="24"/>
          <w:szCs w:val="24"/>
        </w:rPr>
        <w:t>u</w:t>
      </w:r>
      <w:r w:rsidRPr="00EB24B3">
        <w:rPr>
          <w:rFonts w:ascii="Times New Roman" w:hAnsi="Times New Roman" w:cs="Times New Roman"/>
          <w:sz w:val="24"/>
          <w:szCs w:val="24"/>
        </w:rPr>
        <w:t xml:space="preserve"> 2024. godin</w:t>
      </w:r>
      <w:r w:rsidR="00FF3FA0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FF3FA0" w:rsidRPr="00EB2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23.538.828,61</w:t>
      </w:r>
      <w:r w:rsidRPr="00EB2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B24B3">
        <w:rPr>
          <w:rFonts w:ascii="Times New Roman" w:hAnsi="Times New Roman" w:cs="Times New Roman"/>
          <w:sz w:val="24"/>
          <w:szCs w:val="24"/>
        </w:rPr>
        <w:t xml:space="preserve">eura što je </w:t>
      </w:r>
      <w:r w:rsidR="00FF3FA0" w:rsidRPr="00EB24B3">
        <w:rPr>
          <w:rFonts w:ascii="Times New Roman" w:hAnsi="Times New Roman" w:cs="Times New Roman"/>
          <w:sz w:val="24"/>
          <w:szCs w:val="24"/>
        </w:rPr>
        <w:t>82,58</w:t>
      </w:r>
      <w:r w:rsidRPr="00EB24B3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rashoda poslovanja. U odnosu na isto razdoblje prethodne godine rashodi poslovanja veći su za </w:t>
      </w:r>
      <w:r w:rsidR="00FF3FA0" w:rsidRPr="00EB24B3">
        <w:rPr>
          <w:rFonts w:ascii="Times New Roman" w:hAnsi="Times New Roman" w:cs="Times New Roman"/>
          <w:sz w:val="24"/>
          <w:szCs w:val="24"/>
        </w:rPr>
        <w:t>19,65</w:t>
      </w:r>
      <w:r w:rsidRPr="00EB24B3">
        <w:rPr>
          <w:rFonts w:ascii="Times New Roman" w:hAnsi="Times New Roman" w:cs="Times New Roman"/>
          <w:sz w:val="24"/>
          <w:szCs w:val="24"/>
        </w:rPr>
        <w:t>%.</w:t>
      </w:r>
    </w:p>
    <w:p w:rsidR="005C60C9" w:rsidRPr="00EB24B3" w:rsidRDefault="005C60C9" w:rsidP="00537836">
      <w:pPr>
        <w:pStyle w:val="BodyText"/>
        <w:spacing w:after="0"/>
        <w:jc w:val="both"/>
        <w:rPr>
          <w:sz w:val="24"/>
          <w:szCs w:val="24"/>
        </w:rPr>
      </w:pPr>
      <w:r w:rsidRPr="00EB24B3">
        <w:rPr>
          <w:sz w:val="24"/>
          <w:szCs w:val="24"/>
        </w:rPr>
        <w:t>U strukturi rashoda poslovanja najveći udio čine rashodi za zaposlene i materijalni rashodi.</w:t>
      </w:r>
    </w:p>
    <w:p w:rsidR="005C60C9" w:rsidRPr="00EB24B3" w:rsidRDefault="005C60C9" w:rsidP="005C60C9">
      <w:pPr>
        <w:pStyle w:val="BodyText"/>
        <w:spacing w:after="0"/>
        <w:jc w:val="both"/>
        <w:rPr>
          <w:sz w:val="24"/>
          <w:szCs w:val="24"/>
        </w:rPr>
      </w:pP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:rsidR="00FF3FA0" w:rsidRPr="00EB24B3" w:rsidRDefault="005C60C9" w:rsidP="00FF3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FF3FA0" w:rsidRPr="00EB24B3">
        <w:rPr>
          <w:rFonts w:ascii="Times New Roman" w:hAnsi="Times New Roman" w:cs="Times New Roman"/>
          <w:sz w:val="24"/>
          <w:szCs w:val="24"/>
        </w:rPr>
        <w:t>u</w:t>
      </w:r>
      <w:r w:rsidRPr="00EB24B3">
        <w:rPr>
          <w:rFonts w:ascii="Times New Roman" w:hAnsi="Times New Roman" w:cs="Times New Roman"/>
          <w:sz w:val="24"/>
          <w:szCs w:val="24"/>
        </w:rPr>
        <w:t xml:space="preserve"> 2024. godin</w:t>
      </w:r>
      <w:r w:rsidR="00FF3FA0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FF3FA0" w:rsidRPr="00EB24B3">
        <w:rPr>
          <w:rFonts w:ascii="Times New Roman" w:hAnsi="Times New Roman" w:cs="Times New Roman"/>
          <w:sz w:val="24"/>
          <w:szCs w:val="24"/>
        </w:rPr>
        <w:t>19.233.002,28</w:t>
      </w:r>
      <w:r w:rsidRPr="00EB24B3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FF3FA0" w:rsidRPr="00EB24B3">
        <w:rPr>
          <w:rFonts w:ascii="Times New Roman" w:hAnsi="Times New Roman" w:cs="Times New Roman"/>
          <w:sz w:val="24"/>
          <w:szCs w:val="24"/>
        </w:rPr>
        <w:t>97,40</w:t>
      </w:r>
      <w:r w:rsidRPr="00EB24B3">
        <w:rPr>
          <w:rFonts w:ascii="Times New Roman" w:hAnsi="Times New Roman" w:cs="Times New Roman"/>
          <w:sz w:val="24"/>
          <w:szCs w:val="24"/>
        </w:rPr>
        <w:t xml:space="preserve">% planiranih financijskih sredstava za zaposlene. U odnosu na isto razdoblje prethodne godine, rashodi za zaposlene veći su za </w:t>
      </w:r>
      <w:r w:rsidR="00FF3FA0" w:rsidRPr="00EB24B3">
        <w:rPr>
          <w:rFonts w:ascii="Times New Roman" w:hAnsi="Times New Roman" w:cs="Times New Roman"/>
          <w:sz w:val="24"/>
          <w:szCs w:val="24"/>
        </w:rPr>
        <w:t>30,50</w:t>
      </w:r>
      <w:r w:rsidRPr="00EB24B3">
        <w:rPr>
          <w:rFonts w:ascii="Times New Roman" w:hAnsi="Times New Roman" w:cs="Times New Roman"/>
          <w:sz w:val="24"/>
          <w:szCs w:val="24"/>
        </w:rPr>
        <w:t xml:space="preserve">%. Spomenuto povećanje posljedica je </w:t>
      </w:r>
      <w:r w:rsidR="00FF3FA0" w:rsidRPr="00EB24B3">
        <w:rPr>
          <w:rFonts w:ascii="Times New Roman" w:hAnsi="Times New Roman" w:cs="Times New Roman"/>
          <w:sz w:val="24"/>
          <w:szCs w:val="24"/>
        </w:rPr>
        <w:t xml:space="preserve">povećanja osnovice sukladno </w:t>
      </w:r>
      <w:r w:rsidR="00FF3FA0" w:rsidRPr="00EB2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Dodatku III. Kolektivnog ugovora za državne službenike i namještenike („Narodne novine“, broj 128/2023), </w:t>
      </w:r>
      <w:r w:rsidR="00FF3FA0" w:rsidRPr="00EB24B3">
        <w:rPr>
          <w:rFonts w:ascii="Times New Roman" w:hAnsi="Times New Roman" w:cs="Times New Roman"/>
          <w:sz w:val="24"/>
          <w:szCs w:val="24"/>
        </w:rPr>
        <w:t xml:space="preserve">povećanja koeficijenata državnim službenicima sukladno Zakonu o plaćama u državnoj službi i javnim službama („Narodne novine“, broj 155/2023) i Uredbi o nazivima radnih mjesta, uvjetima za raspored i koeficijentima za obračun plaće u državnoj službi (“Narodne novine” broj 22/2024), provedbe parlamentarnih izbora te korištenja prava na naknadu plaće nakon prestanka obnašanja zastupničke dužnosti 6+6 za dio zastupnika koji nisu ušli u 11. saziv, donošenja Odluke o visini osnovice za obračun plaće državnih dužnosnika („Narodne novine“, broj 88/2024), </w:t>
      </w:r>
      <w:r w:rsidR="00FF3FA0" w:rsidRPr="00EB24B3">
        <w:rPr>
          <w:rFonts w:ascii="Times New Roman" w:hAnsi="Times New Roman"/>
          <w:sz w:val="24"/>
          <w:szCs w:val="24"/>
        </w:rPr>
        <w:t xml:space="preserve">isplate većeg broja jubilarnih nagrada, naknada za neiskorišteni godišnji odmor </w:t>
      </w:r>
      <w:r w:rsidR="00FF3FA0" w:rsidRPr="00EB24B3">
        <w:rPr>
          <w:rFonts w:ascii="Times New Roman" w:hAnsi="Times New Roman" w:cs="Times New Roman"/>
          <w:sz w:val="24"/>
          <w:szCs w:val="24"/>
        </w:rPr>
        <w:t xml:space="preserve">te </w:t>
      </w:r>
      <w:r w:rsidR="00FF3FA0" w:rsidRPr="00EB24B3">
        <w:rPr>
          <w:rFonts w:ascii="Times New Roman" w:hAnsi="Times New Roman" w:cs="Times New Roman"/>
          <w:sz w:val="24"/>
          <w:szCs w:val="24"/>
          <w:shd w:val="clear" w:color="auto" w:fill="FFFFFF"/>
        </w:rPr>
        <w:t>godišnje nagrade za uskršnje blagdane</w:t>
      </w:r>
      <w:r w:rsidR="00FF3FA0" w:rsidRPr="00EB24B3">
        <w:rPr>
          <w:shd w:val="clear" w:color="auto" w:fill="FFFFFF"/>
        </w:rPr>
        <w:t xml:space="preserve"> </w:t>
      </w:r>
      <w:r w:rsidR="00FF3FA0" w:rsidRPr="00EB24B3">
        <w:rPr>
          <w:rFonts w:ascii="Times New Roman" w:hAnsi="Times New Roman" w:cs="Times New Roman"/>
          <w:sz w:val="24"/>
          <w:szCs w:val="24"/>
        </w:rPr>
        <w:t>sukladno Dodatku III. Kolektivnog ugovora za državne službenike i namještenike (Narodne novine, broj 128/2023).</w:t>
      </w:r>
    </w:p>
    <w:p w:rsidR="00FF3FA0" w:rsidRPr="00EB24B3" w:rsidRDefault="00FF3FA0" w:rsidP="00FF3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FF3FA0" w:rsidRPr="00EB24B3">
        <w:rPr>
          <w:rFonts w:ascii="Times New Roman" w:hAnsi="Times New Roman" w:cs="Times New Roman"/>
          <w:sz w:val="24"/>
          <w:szCs w:val="24"/>
        </w:rPr>
        <w:t>u</w:t>
      </w:r>
      <w:r w:rsidRPr="00EB24B3">
        <w:rPr>
          <w:rFonts w:ascii="Times New Roman" w:hAnsi="Times New Roman" w:cs="Times New Roman"/>
          <w:sz w:val="24"/>
          <w:szCs w:val="24"/>
        </w:rPr>
        <w:t xml:space="preserve"> 2024. godin</w:t>
      </w:r>
      <w:r w:rsidR="00FF3FA0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FF3FA0" w:rsidRPr="00EB24B3">
        <w:rPr>
          <w:rFonts w:ascii="Times New Roman" w:hAnsi="Times New Roman" w:cs="Times New Roman"/>
          <w:sz w:val="24"/>
          <w:szCs w:val="24"/>
        </w:rPr>
        <w:t>4.122.314,91</w:t>
      </w:r>
      <w:r w:rsidRPr="00EB24B3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FF3FA0" w:rsidRPr="00EB24B3">
        <w:rPr>
          <w:rFonts w:ascii="Times New Roman" w:hAnsi="Times New Roman" w:cs="Times New Roman"/>
          <w:sz w:val="24"/>
          <w:szCs w:val="24"/>
        </w:rPr>
        <w:t>48,29</w:t>
      </w:r>
      <w:r w:rsidRPr="00EB24B3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materijalnih rashoda. U odnosu na </w:t>
      </w:r>
      <w:r w:rsidRPr="00EB24B3">
        <w:rPr>
          <w:rFonts w:ascii="Times New Roman" w:hAnsi="Times New Roman" w:cs="Times New Roman"/>
          <w:sz w:val="24"/>
          <w:szCs w:val="24"/>
        </w:rPr>
        <w:lastRenderedPageBreak/>
        <w:t xml:space="preserve">isto razdoblje prethodne godine materijalni rashodi smanjeni su za </w:t>
      </w:r>
      <w:r w:rsidR="00FF3FA0" w:rsidRPr="00EB24B3">
        <w:rPr>
          <w:rFonts w:ascii="Times New Roman" w:hAnsi="Times New Roman" w:cs="Times New Roman"/>
          <w:sz w:val="24"/>
          <w:szCs w:val="24"/>
        </w:rPr>
        <w:t>13,23</w:t>
      </w:r>
      <w:r w:rsidRPr="00EB24B3">
        <w:rPr>
          <w:rFonts w:ascii="Times New Roman" w:hAnsi="Times New Roman" w:cs="Times New Roman"/>
          <w:sz w:val="24"/>
          <w:szCs w:val="24"/>
        </w:rPr>
        <w:t>%. U 2024. godin</w:t>
      </w:r>
      <w:r w:rsidR="00FF3FA0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sredstva su </w:t>
      </w:r>
      <w:r w:rsidR="00FF3FA0" w:rsidRPr="00EB24B3">
        <w:rPr>
          <w:rFonts w:ascii="Times New Roman" w:hAnsi="Times New Roman" w:cs="Times New Roman"/>
          <w:sz w:val="24"/>
          <w:szCs w:val="24"/>
        </w:rPr>
        <w:t>izvršena</w:t>
      </w:r>
      <w:r w:rsidRPr="00EB24B3">
        <w:rPr>
          <w:rFonts w:ascii="Times New Roman" w:hAnsi="Times New Roman" w:cs="Times New Roman"/>
          <w:sz w:val="24"/>
          <w:szCs w:val="24"/>
        </w:rPr>
        <w:t xml:space="preserve"> </w:t>
      </w:r>
      <w:r w:rsidR="00FF3FA0" w:rsidRPr="00EB24B3">
        <w:rPr>
          <w:rFonts w:ascii="Times New Roman" w:hAnsi="Times New Roman" w:cs="Times New Roman"/>
          <w:sz w:val="24"/>
          <w:szCs w:val="24"/>
        </w:rPr>
        <w:t>z</w:t>
      </w:r>
      <w:r w:rsidRPr="00EB24B3">
        <w:rPr>
          <w:rFonts w:ascii="Times New Roman" w:hAnsi="Times New Roman" w:cs="Times New Roman"/>
          <w:sz w:val="24"/>
          <w:szCs w:val="24"/>
        </w:rPr>
        <w:t xml:space="preserve">a službena putovanja, prijevoz na posao i s posla, </w:t>
      </w:r>
      <w:r w:rsidR="00134533" w:rsidRPr="00EB24B3">
        <w:rPr>
          <w:rFonts w:ascii="Times New Roman" w:hAnsi="Times New Roman" w:cs="Times New Roman"/>
          <w:sz w:val="24"/>
          <w:szCs w:val="24"/>
        </w:rPr>
        <w:t xml:space="preserve">naknade za odvojeni život, </w:t>
      </w:r>
      <w:r w:rsidRPr="00EB24B3">
        <w:rPr>
          <w:rFonts w:ascii="Times New Roman" w:hAnsi="Times New Roman" w:cs="Times New Roman"/>
          <w:sz w:val="24"/>
          <w:szCs w:val="24"/>
        </w:rPr>
        <w:t xml:space="preserve">stručne seminare, </w:t>
      </w:r>
      <w:r w:rsidR="00134533" w:rsidRPr="00EB24B3">
        <w:rPr>
          <w:rFonts w:ascii="Times New Roman" w:hAnsi="Times New Roman" w:cs="Times New Roman"/>
          <w:sz w:val="24"/>
          <w:szCs w:val="24"/>
        </w:rPr>
        <w:t xml:space="preserve">nabavu uredskih potrepština, literature, inventara i radne odjeće, </w:t>
      </w:r>
      <w:r w:rsidRPr="00EB24B3">
        <w:rPr>
          <w:rFonts w:ascii="Times New Roman" w:hAnsi="Times New Roman" w:cs="Times New Roman"/>
          <w:sz w:val="24"/>
          <w:szCs w:val="24"/>
        </w:rPr>
        <w:t xml:space="preserve">režijske, telekomunikacijske i komunalne usluge, </w:t>
      </w:r>
      <w:r w:rsidR="00134533" w:rsidRPr="00EB24B3">
        <w:rPr>
          <w:rFonts w:ascii="Times New Roman" w:hAnsi="Times New Roman" w:cs="Times New Roman"/>
          <w:sz w:val="24"/>
          <w:szCs w:val="24"/>
        </w:rPr>
        <w:t xml:space="preserve">seljenje Hrvatskoga sabora na novu lokaciju zbog početka radova obnove zgrade Hrvatskoga sabora od posljedica potresa te prilagodbu novog prostora potrebama Hrvatskoga sabora za </w:t>
      </w:r>
      <w:r w:rsidR="00835E22" w:rsidRPr="00EB24B3">
        <w:rPr>
          <w:rFonts w:ascii="Times New Roman" w:hAnsi="Times New Roman" w:cs="Times New Roman"/>
          <w:sz w:val="24"/>
          <w:szCs w:val="24"/>
        </w:rPr>
        <w:t>redovno obavljanje</w:t>
      </w:r>
      <w:r w:rsidR="00134533" w:rsidRPr="00EB24B3">
        <w:rPr>
          <w:rFonts w:ascii="Times New Roman" w:hAnsi="Times New Roman" w:cs="Times New Roman"/>
          <w:sz w:val="24"/>
          <w:szCs w:val="24"/>
        </w:rPr>
        <w:t xml:space="preserve"> svojih zadaća, </w:t>
      </w:r>
      <w:r w:rsidRPr="00EB24B3">
        <w:rPr>
          <w:rFonts w:ascii="Times New Roman" w:hAnsi="Times New Roman" w:cs="Times New Roman"/>
          <w:sz w:val="24"/>
          <w:szCs w:val="24"/>
        </w:rPr>
        <w:t xml:space="preserve">nabavu tiskovina, najam opreme i službenih stanova, zdravstvene </w:t>
      </w:r>
      <w:r w:rsidR="00FF3FA0" w:rsidRPr="00EB24B3">
        <w:rPr>
          <w:rFonts w:ascii="Times New Roman" w:hAnsi="Times New Roman" w:cs="Times New Roman"/>
          <w:sz w:val="24"/>
          <w:szCs w:val="24"/>
        </w:rPr>
        <w:t xml:space="preserve">i </w:t>
      </w:r>
      <w:r w:rsidRPr="00EB24B3">
        <w:rPr>
          <w:rFonts w:ascii="Times New Roman" w:hAnsi="Times New Roman" w:cs="Times New Roman"/>
          <w:sz w:val="24"/>
          <w:szCs w:val="24"/>
        </w:rPr>
        <w:t xml:space="preserve">sistematske preglede, usluge prijevoda, održavanje aplikativnih rješenja i usluge čišćenja, putne troškove </w:t>
      </w:r>
      <w:r w:rsidR="00134533" w:rsidRPr="00EB24B3">
        <w:rPr>
          <w:rFonts w:ascii="Times New Roman" w:hAnsi="Times New Roman" w:cs="Times New Roman"/>
          <w:sz w:val="24"/>
          <w:szCs w:val="24"/>
        </w:rPr>
        <w:t xml:space="preserve">i naknade za rad </w:t>
      </w:r>
      <w:r w:rsidRPr="00EB24B3">
        <w:rPr>
          <w:rFonts w:ascii="Times New Roman" w:hAnsi="Times New Roman" w:cs="Times New Roman"/>
          <w:sz w:val="24"/>
          <w:szCs w:val="24"/>
        </w:rPr>
        <w:t>vanjskih članova sabo</w:t>
      </w:r>
      <w:r w:rsidR="00134533" w:rsidRPr="00EB24B3">
        <w:rPr>
          <w:rFonts w:ascii="Times New Roman" w:hAnsi="Times New Roman" w:cs="Times New Roman"/>
          <w:sz w:val="24"/>
          <w:szCs w:val="24"/>
        </w:rPr>
        <w:t>rskih odbora i povjerenstava, smještaj</w:t>
      </w:r>
      <w:r w:rsidRPr="00EB24B3">
        <w:rPr>
          <w:rFonts w:ascii="Times New Roman" w:hAnsi="Times New Roman" w:cs="Times New Roman"/>
          <w:sz w:val="24"/>
          <w:szCs w:val="24"/>
        </w:rPr>
        <w:t xml:space="preserve"> stranih delegacija, reprezentaciju, protokolarne poklone, članarine, vijence i izvanredne aranžmane.</w:t>
      </w:r>
    </w:p>
    <w:p w:rsidR="005C60C9" w:rsidRPr="00EB24B3" w:rsidRDefault="005C60C9" w:rsidP="005C60C9">
      <w:pPr>
        <w:pStyle w:val="BodyText"/>
        <w:spacing w:after="0"/>
        <w:jc w:val="both"/>
        <w:rPr>
          <w:sz w:val="24"/>
          <w:szCs w:val="24"/>
        </w:rPr>
      </w:pP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>Financijski rashodi u 2024. godin</w:t>
      </w:r>
      <w:r w:rsidR="00134533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134533" w:rsidRPr="00EB24B3">
        <w:rPr>
          <w:rFonts w:ascii="Times New Roman" w:hAnsi="Times New Roman" w:cs="Times New Roman"/>
          <w:sz w:val="24"/>
          <w:szCs w:val="24"/>
        </w:rPr>
        <w:t>799,98 eura, a isti se odnose na vođenje računa sek</w:t>
      </w:r>
      <w:r w:rsidR="00604977" w:rsidRPr="00EB24B3">
        <w:rPr>
          <w:rFonts w:ascii="Times New Roman" w:hAnsi="Times New Roman" w:cs="Times New Roman"/>
          <w:sz w:val="24"/>
          <w:szCs w:val="24"/>
        </w:rPr>
        <w:t>u</w:t>
      </w:r>
      <w:r w:rsidR="00134533" w:rsidRPr="00EB24B3">
        <w:rPr>
          <w:rFonts w:ascii="Times New Roman" w:hAnsi="Times New Roman" w:cs="Times New Roman"/>
          <w:sz w:val="24"/>
          <w:szCs w:val="24"/>
        </w:rPr>
        <w:t>ndirane djelatnice u Bruxelles</w:t>
      </w:r>
      <w:r w:rsidRPr="00EB24B3">
        <w:rPr>
          <w:rFonts w:ascii="Times New Roman" w:hAnsi="Times New Roman" w:cs="Times New Roman"/>
          <w:sz w:val="24"/>
          <w:szCs w:val="24"/>
        </w:rPr>
        <w:t xml:space="preserve"> te </w:t>
      </w:r>
      <w:r w:rsidR="00134533" w:rsidRPr="00EB24B3">
        <w:rPr>
          <w:rFonts w:ascii="Times New Roman" w:hAnsi="Times New Roman" w:cs="Times New Roman"/>
          <w:sz w:val="24"/>
          <w:szCs w:val="24"/>
        </w:rPr>
        <w:t>n</w:t>
      </w:r>
      <w:r w:rsidRPr="00EB24B3">
        <w:rPr>
          <w:rFonts w:ascii="Times New Roman" w:hAnsi="Times New Roman" w:cs="Times New Roman"/>
          <w:sz w:val="24"/>
          <w:szCs w:val="24"/>
        </w:rPr>
        <w:t xml:space="preserve">a </w:t>
      </w:r>
      <w:r w:rsidR="00134533" w:rsidRPr="00EB24B3">
        <w:rPr>
          <w:rFonts w:ascii="Times New Roman" w:hAnsi="Times New Roman" w:cs="Times New Roman"/>
          <w:sz w:val="24"/>
          <w:szCs w:val="24"/>
        </w:rPr>
        <w:t xml:space="preserve">zatezne </w:t>
      </w:r>
      <w:r w:rsidRPr="00EB24B3">
        <w:rPr>
          <w:rFonts w:ascii="Times New Roman" w:hAnsi="Times New Roman" w:cs="Times New Roman"/>
          <w:sz w:val="24"/>
          <w:szCs w:val="24"/>
        </w:rPr>
        <w:t>kamate za službene kartice i režijske troškove.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>Pomoći dane u inozemstvo i unutar općeg proračuna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>Pomoći dane u inozemstvo i unutar općeg proračuna u 2024. godin</w:t>
      </w:r>
      <w:r w:rsidR="00134533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izvršene su u iznosu </w:t>
      </w:r>
      <w:r w:rsidR="00134533" w:rsidRPr="00EB24B3">
        <w:rPr>
          <w:rFonts w:ascii="Times New Roman" w:hAnsi="Times New Roman" w:cs="Times New Roman"/>
          <w:sz w:val="24"/>
          <w:szCs w:val="24"/>
        </w:rPr>
        <w:t>74.324,24</w:t>
      </w:r>
      <w:r w:rsidRPr="00EB24B3"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134533" w:rsidRPr="00EB24B3">
        <w:rPr>
          <w:rFonts w:ascii="Times New Roman" w:hAnsi="Times New Roman" w:cs="Times New Roman"/>
          <w:sz w:val="24"/>
          <w:szCs w:val="24"/>
        </w:rPr>
        <w:t>100</w:t>
      </w:r>
      <w:r w:rsidRPr="00EB24B3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navedenih pomoći. Sredstva su </w:t>
      </w:r>
      <w:r w:rsidR="00134533" w:rsidRPr="00EB24B3">
        <w:rPr>
          <w:rFonts w:ascii="Times New Roman" w:hAnsi="Times New Roman" w:cs="Times New Roman"/>
          <w:sz w:val="24"/>
          <w:szCs w:val="24"/>
        </w:rPr>
        <w:t>izvršena</w:t>
      </w:r>
      <w:r w:rsidRPr="00EB24B3">
        <w:rPr>
          <w:rFonts w:ascii="Times New Roman" w:hAnsi="Times New Roman" w:cs="Times New Roman"/>
          <w:sz w:val="24"/>
          <w:szCs w:val="24"/>
        </w:rPr>
        <w:t xml:space="preserve"> </w:t>
      </w:r>
      <w:r w:rsidR="00604977" w:rsidRPr="00EB24B3">
        <w:rPr>
          <w:rFonts w:ascii="Times New Roman" w:hAnsi="Times New Roman" w:cs="Times New Roman"/>
          <w:sz w:val="24"/>
          <w:szCs w:val="24"/>
        </w:rPr>
        <w:t>z</w:t>
      </w:r>
      <w:r w:rsidRPr="00EB24B3">
        <w:rPr>
          <w:rFonts w:ascii="Times New Roman" w:hAnsi="Times New Roman" w:cs="Times New Roman"/>
          <w:sz w:val="24"/>
          <w:szCs w:val="24"/>
        </w:rPr>
        <w:t>a isplatu pomoći za održavanje zgrade Narodnog sveučilišta Otočac i isplatu pomoći Javnoj ustanovi Spomen područja Jasenovac radi obilježavanja sjećanja na žrtve logora Jasenovac.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>Naknade građanima i kućanstvima na temelju osiguranja i druge naknade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>Naknade građanima i kućanstvima na temelju osiguranja i druge naknade u 2024. godin</w:t>
      </w:r>
      <w:r w:rsidR="00F138AD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izvršene su u iznosu </w:t>
      </w:r>
      <w:r w:rsidR="00F138AD" w:rsidRPr="00EB24B3">
        <w:rPr>
          <w:rFonts w:ascii="Times New Roman" w:hAnsi="Times New Roman" w:cs="Times New Roman"/>
          <w:sz w:val="24"/>
          <w:szCs w:val="24"/>
        </w:rPr>
        <w:t>2.570,20</w:t>
      </w:r>
      <w:r w:rsidRPr="00EB24B3"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F138AD" w:rsidRPr="00EB24B3">
        <w:rPr>
          <w:rFonts w:ascii="Times New Roman" w:hAnsi="Times New Roman" w:cs="Times New Roman"/>
          <w:sz w:val="24"/>
          <w:szCs w:val="24"/>
        </w:rPr>
        <w:t>31,59</w:t>
      </w:r>
      <w:r w:rsidRPr="00EB24B3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F138AD" w:rsidRPr="00EB24B3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EB24B3">
        <w:rPr>
          <w:rFonts w:ascii="Times New Roman" w:hAnsi="Times New Roman" w:cs="Times New Roman"/>
          <w:sz w:val="24"/>
          <w:szCs w:val="24"/>
        </w:rPr>
        <w:t xml:space="preserve">sredstava za 2024. godinu u okviru navedenih naknada. Sredstva su </w:t>
      </w:r>
      <w:r w:rsidR="00604977" w:rsidRPr="00EB24B3">
        <w:rPr>
          <w:rFonts w:ascii="Times New Roman" w:hAnsi="Times New Roman" w:cs="Times New Roman"/>
          <w:sz w:val="24"/>
          <w:szCs w:val="24"/>
        </w:rPr>
        <w:t>izvršena</w:t>
      </w:r>
      <w:r w:rsidRPr="00EB24B3">
        <w:rPr>
          <w:rFonts w:ascii="Times New Roman" w:hAnsi="Times New Roman" w:cs="Times New Roman"/>
          <w:sz w:val="24"/>
          <w:szCs w:val="24"/>
        </w:rPr>
        <w:t xml:space="preserve"> </w:t>
      </w:r>
      <w:r w:rsidR="00604977" w:rsidRPr="00EB24B3">
        <w:rPr>
          <w:rFonts w:ascii="Times New Roman" w:hAnsi="Times New Roman" w:cs="Times New Roman"/>
          <w:sz w:val="24"/>
          <w:szCs w:val="24"/>
        </w:rPr>
        <w:t>z</w:t>
      </w:r>
      <w:r w:rsidRPr="00EB24B3">
        <w:rPr>
          <w:rFonts w:ascii="Times New Roman" w:hAnsi="Times New Roman" w:cs="Times New Roman"/>
          <w:sz w:val="24"/>
          <w:szCs w:val="24"/>
        </w:rPr>
        <w:t>a podmirenje troškova školarin</w:t>
      </w:r>
      <w:r w:rsidR="00F138AD" w:rsidRPr="00EB24B3">
        <w:rPr>
          <w:rFonts w:ascii="Times New Roman" w:hAnsi="Times New Roman" w:cs="Times New Roman"/>
          <w:sz w:val="24"/>
          <w:szCs w:val="24"/>
        </w:rPr>
        <w:t>a</w:t>
      </w:r>
      <w:r w:rsidRPr="00EB24B3">
        <w:rPr>
          <w:rFonts w:ascii="Times New Roman" w:hAnsi="Times New Roman" w:cs="Times New Roman"/>
          <w:sz w:val="24"/>
          <w:szCs w:val="24"/>
        </w:rPr>
        <w:t xml:space="preserve"> za </w:t>
      </w:r>
      <w:r w:rsidR="00F138AD" w:rsidRPr="00EB24B3">
        <w:rPr>
          <w:rFonts w:ascii="Times New Roman" w:hAnsi="Times New Roman" w:cs="Times New Roman"/>
          <w:sz w:val="24"/>
          <w:szCs w:val="24"/>
        </w:rPr>
        <w:t>dvije</w:t>
      </w:r>
      <w:r w:rsidRPr="00EB24B3">
        <w:rPr>
          <w:rFonts w:ascii="Times New Roman" w:hAnsi="Times New Roman" w:cs="Times New Roman"/>
          <w:sz w:val="24"/>
          <w:szCs w:val="24"/>
        </w:rPr>
        <w:t xml:space="preserve"> djelatnic</w:t>
      </w:r>
      <w:r w:rsidR="00F138AD" w:rsidRPr="00EB24B3">
        <w:rPr>
          <w:rFonts w:ascii="Times New Roman" w:hAnsi="Times New Roman" w:cs="Times New Roman"/>
          <w:sz w:val="24"/>
          <w:szCs w:val="24"/>
        </w:rPr>
        <w:t>e</w:t>
      </w:r>
      <w:r w:rsidRPr="00EB24B3">
        <w:rPr>
          <w:rFonts w:ascii="Times New Roman" w:hAnsi="Times New Roman" w:cs="Times New Roman"/>
          <w:sz w:val="24"/>
          <w:szCs w:val="24"/>
        </w:rPr>
        <w:t>.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60C9" w:rsidRPr="00EB24B3" w:rsidRDefault="00EB24B3" w:rsidP="005C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Ostali rashodi</w:t>
      </w:r>
    </w:p>
    <w:p w:rsidR="005C60C9" w:rsidRPr="00EB24B3" w:rsidRDefault="00EB24B3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</w:t>
      </w:r>
      <w:r w:rsidR="00F138AD" w:rsidRPr="00EB24B3">
        <w:rPr>
          <w:rFonts w:ascii="Times New Roman" w:hAnsi="Times New Roman" w:cs="Times New Roman"/>
          <w:sz w:val="24"/>
          <w:szCs w:val="24"/>
        </w:rPr>
        <w:t xml:space="preserve"> </w:t>
      </w:r>
      <w:r w:rsidR="005C60C9" w:rsidRPr="00EB24B3">
        <w:rPr>
          <w:rFonts w:ascii="Times New Roman" w:hAnsi="Times New Roman" w:cs="Times New Roman"/>
          <w:sz w:val="24"/>
          <w:szCs w:val="24"/>
        </w:rPr>
        <w:t>rashodi u 2024. godin</w:t>
      </w:r>
      <w:r w:rsidR="00F138AD" w:rsidRPr="00EB24B3">
        <w:rPr>
          <w:rFonts w:ascii="Times New Roman" w:hAnsi="Times New Roman" w:cs="Times New Roman"/>
          <w:sz w:val="24"/>
          <w:szCs w:val="24"/>
        </w:rPr>
        <w:t>i</w:t>
      </w:r>
      <w:r w:rsidR="005C60C9" w:rsidRPr="00EB24B3">
        <w:rPr>
          <w:rFonts w:ascii="Times New Roman" w:hAnsi="Times New Roman" w:cs="Times New Roman"/>
          <w:sz w:val="24"/>
          <w:szCs w:val="24"/>
        </w:rPr>
        <w:t xml:space="preserve"> </w:t>
      </w:r>
      <w:r w:rsidR="00F138AD" w:rsidRPr="00EB24B3">
        <w:rPr>
          <w:rFonts w:ascii="Times New Roman" w:hAnsi="Times New Roman" w:cs="Times New Roman"/>
          <w:sz w:val="24"/>
          <w:szCs w:val="24"/>
        </w:rPr>
        <w:t>izvršeni</w:t>
      </w:r>
      <w:r w:rsidR="005C60C9" w:rsidRPr="00EB24B3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F138AD" w:rsidRPr="00EB24B3">
        <w:rPr>
          <w:rFonts w:ascii="Times New Roman" w:hAnsi="Times New Roman" w:cs="Times New Roman"/>
          <w:sz w:val="24"/>
          <w:szCs w:val="24"/>
        </w:rPr>
        <w:t>105.817,00</w:t>
      </w:r>
      <w:r w:rsidR="005C60C9" w:rsidRPr="00EB24B3"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F138AD" w:rsidRPr="00EB24B3">
        <w:rPr>
          <w:rFonts w:ascii="Times New Roman" w:hAnsi="Times New Roman" w:cs="Times New Roman"/>
          <w:sz w:val="24"/>
          <w:szCs w:val="24"/>
        </w:rPr>
        <w:t>79,95</w:t>
      </w:r>
      <w:r w:rsidR="005C60C9" w:rsidRPr="00EB24B3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</w:t>
      </w:r>
      <w:r w:rsidR="00F138AD" w:rsidRPr="00EB24B3">
        <w:rPr>
          <w:rFonts w:ascii="Times New Roman" w:hAnsi="Times New Roman" w:cs="Times New Roman"/>
          <w:sz w:val="24"/>
          <w:szCs w:val="24"/>
        </w:rPr>
        <w:t>ove skupine</w:t>
      </w:r>
      <w:r w:rsidR="005C60C9" w:rsidRPr="00EB24B3">
        <w:rPr>
          <w:rFonts w:ascii="Times New Roman" w:hAnsi="Times New Roman" w:cs="Times New Roman"/>
          <w:sz w:val="24"/>
          <w:szCs w:val="24"/>
        </w:rPr>
        <w:t xml:space="preserve"> rashoda. Sredstva su </w:t>
      </w:r>
      <w:r w:rsidR="00F138AD" w:rsidRPr="00EB24B3">
        <w:rPr>
          <w:rFonts w:ascii="Times New Roman" w:hAnsi="Times New Roman" w:cs="Times New Roman"/>
          <w:sz w:val="24"/>
          <w:szCs w:val="24"/>
        </w:rPr>
        <w:t>izvršena</w:t>
      </w:r>
      <w:r w:rsidR="005C60C9" w:rsidRPr="00EB24B3">
        <w:rPr>
          <w:rFonts w:ascii="Times New Roman" w:hAnsi="Times New Roman" w:cs="Times New Roman"/>
          <w:sz w:val="24"/>
          <w:szCs w:val="24"/>
        </w:rPr>
        <w:t xml:space="preserve"> </w:t>
      </w:r>
      <w:r w:rsidR="00F138AD" w:rsidRPr="00EB24B3">
        <w:rPr>
          <w:rFonts w:ascii="Times New Roman" w:hAnsi="Times New Roman" w:cs="Times New Roman"/>
          <w:sz w:val="24"/>
          <w:szCs w:val="24"/>
        </w:rPr>
        <w:t>z</w:t>
      </w:r>
      <w:r w:rsidR="005C60C9" w:rsidRPr="00EB24B3">
        <w:rPr>
          <w:rFonts w:ascii="Times New Roman" w:hAnsi="Times New Roman" w:cs="Times New Roman"/>
          <w:sz w:val="24"/>
          <w:szCs w:val="24"/>
        </w:rPr>
        <w:t>a isplate donacija temeljem pokroviteljstva Hrvatskog</w:t>
      </w:r>
      <w:r w:rsidR="00F138AD" w:rsidRPr="00EB24B3">
        <w:rPr>
          <w:rFonts w:ascii="Times New Roman" w:hAnsi="Times New Roman" w:cs="Times New Roman"/>
          <w:sz w:val="24"/>
          <w:szCs w:val="24"/>
        </w:rPr>
        <w:t>a</w:t>
      </w:r>
      <w:r w:rsidR="005C60C9" w:rsidRPr="00EB24B3">
        <w:rPr>
          <w:rFonts w:ascii="Times New Roman" w:hAnsi="Times New Roman" w:cs="Times New Roman"/>
          <w:sz w:val="24"/>
          <w:szCs w:val="24"/>
        </w:rPr>
        <w:t xml:space="preserve"> sabora prema Savezu antifašističkih boraca i antifašista Republike Hrvatske i Počasnom </w:t>
      </w:r>
      <w:proofErr w:type="spellStart"/>
      <w:r w:rsidR="005C60C9" w:rsidRPr="00EB24B3">
        <w:rPr>
          <w:rFonts w:ascii="Times New Roman" w:hAnsi="Times New Roman" w:cs="Times New Roman"/>
          <w:sz w:val="24"/>
          <w:szCs w:val="24"/>
        </w:rPr>
        <w:t>bleiburškom</w:t>
      </w:r>
      <w:proofErr w:type="spellEnd"/>
      <w:r w:rsidR="005C60C9" w:rsidRPr="00EB24B3">
        <w:rPr>
          <w:rFonts w:ascii="Times New Roman" w:hAnsi="Times New Roman" w:cs="Times New Roman"/>
          <w:sz w:val="24"/>
          <w:szCs w:val="24"/>
        </w:rPr>
        <w:t xml:space="preserve"> vodu.</w:t>
      </w: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B7" w:rsidRPr="00EB24B3" w:rsidRDefault="00160CB7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36" w:rsidRPr="00EB24B3" w:rsidRDefault="00537836" w:rsidP="005C6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4B3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:rsidR="00F138AD" w:rsidRPr="00EB24B3" w:rsidRDefault="00F138AD" w:rsidP="00F138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Rashodi za nabavu nefinancijske imovine u 2024. godini izvršeni su u iznosu </w:t>
      </w:r>
      <w:r w:rsidRPr="00EB2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1.940.003,85 </w:t>
      </w:r>
      <w:r w:rsidRPr="00EB24B3">
        <w:rPr>
          <w:rFonts w:ascii="Times New Roman" w:hAnsi="Times New Roman" w:cs="Times New Roman"/>
          <w:sz w:val="24"/>
          <w:szCs w:val="24"/>
        </w:rPr>
        <w:t>eura što je 27,44% planiranih financijskih sredstava za 2024. godinu u okviru ove skupine rashoda. U odnosu na isto razdoblje prethodne godine navedeni rashodi su veći za 316,60%.</w:t>
      </w:r>
    </w:p>
    <w:p w:rsidR="00537836" w:rsidRPr="00EB24B3" w:rsidRDefault="00537836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C9" w:rsidRPr="00EB24B3" w:rsidRDefault="005C60C9" w:rsidP="005C60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 xml:space="preserve">Rashodi za nabavu </w:t>
      </w:r>
      <w:proofErr w:type="spellStart"/>
      <w:r w:rsidRPr="00EB24B3">
        <w:rPr>
          <w:rFonts w:ascii="Times New Roman" w:hAnsi="Times New Roman" w:cs="Times New Roman"/>
          <w:b/>
          <w:i/>
          <w:sz w:val="24"/>
          <w:szCs w:val="24"/>
        </w:rPr>
        <w:t>neproizvedene</w:t>
      </w:r>
      <w:proofErr w:type="spellEnd"/>
      <w:r w:rsidRPr="00EB24B3">
        <w:rPr>
          <w:rFonts w:ascii="Times New Roman" w:hAnsi="Times New Roman" w:cs="Times New Roman"/>
          <w:b/>
          <w:i/>
          <w:sz w:val="24"/>
          <w:szCs w:val="24"/>
        </w:rPr>
        <w:t xml:space="preserve"> dugotrajne imovine</w:t>
      </w:r>
    </w:p>
    <w:p w:rsidR="005C60C9" w:rsidRPr="00EB24B3" w:rsidRDefault="005C60C9" w:rsidP="005C60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Rashodi za nabavu </w:t>
      </w:r>
      <w:proofErr w:type="spellStart"/>
      <w:r w:rsidRPr="00EB24B3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Pr="00EB24B3">
        <w:rPr>
          <w:rFonts w:ascii="Times New Roman" w:hAnsi="Times New Roman" w:cs="Times New Roman"/>
          <w:sz w:val="24"/>
          <w:szCs w:val="24"/>
        </w:rPr>
        <w:t xml:space="preserve"> dugotrajne imovine u 2024. godin</w:t>
      </w:r>
      <w:r w:rsidR="00F138AD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F138AD" w:rsidRPr="00EB24B3">
        <w:rPr>
          <w:rFonts w:ascii="Times New Roman" w:hAnsi="Times New Roman" w:cs="Times New Roman"/>
          <w:sz w:val="24"/>
          <w:szCs w:val="24"/>
        </w:rPr>
        <w:t>823.773,75</w:t>
      </w:r>
      <w:r w:rsidRPr="00EB24B3"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F138AD" w:rsidRPr="00EB24B3">
        <w:rPr>
          <w:rFonts w:ascii="Times New Roman" w:hAnsi="Times New Roman" w:cs="Times New Roman"/>
          <w:sz w:val="24"/>
          <w:szCs w:val="24"/>
        </w:rPr>
        <w:t>96,10</w:t>
      </w:r>
      <w:r w:rsidRPr="00EB24B3">
        <w:rPr>
          <w:rFonts w:ascii="Times New Roman" w:hAnsi="Times New Roman" w:cs="Times New Roman"/>
          <w:sz w:val="24"/>
          <w:szCs w:val="24"/>
        </w:rPr>
        <w:t xml:space="preserve">% planiranih financijskih sredstava za 2024. godinu u okviru ovih rashoda. Sredstva su </w:t>
      </w:r>
      <w:r w:rsidR="00F138AD" w:rsidRPr="00EB24B3">
        <w:rPr>
          <w:rFonts w:ascii="Times New Roman" w:hAnsi="Times New Roman" w:cs="Times New Roman"/>
          <w:sz w:val="24"/>
          <w:szCs w:val="24"/>
        </w:rPr>
        <w:t>izvršena</w:t>
      </w:r>
      <w:r w:rsidRPr="00EB24B3">
        <w:rPr>
          <w:rFonts w:ascii="Times New Roman" w:hAnsi="Times New Roman" w:cs="Times New Roman"/>
          <w:sz w:val="24"/>
          <w:szCs w:val="24"/>
        </w:rPr>
        <w:t xml:space="preserve"> za nabavu </w:t>
      </w:r>
      <w:r w:rsidR="00537836" w:rsidRPr="00EB24B3">
        <w:rPr>
          <w:rFonts w:ascii="Times New Roman" w:hAnsi="Times New Roman" w:cs="Times New Roman"/>
          <w:sz w:val="24"/>
          <w:szCs w:val="24"/>
        </w:rPr>
        <w:t xml:space="preserve">jedne </w:t>
      </w:r>
      <w:r w:rsidRPr="00EB24B3">
        <w:rPr>
          <w:rFonts w:ascii="Times New Roman" w:hAnsi="Times New Roman" w:cs="Times New Roman"/>
          <w:sz w:val="24"/>
          <w:szCs w:val="24"/>
        </w:rPr>
        <w:t>trajne licence</w:t>
      </w:r>
      <w:r w:rsidR="00F138AD" w:rsidRPr="00EB24B3">
        <w:rPr>
          <w:rFonts w:ascii="Times New Roman" w:hAnsi="Times New Roman" w:cs="Times New Roman"/>
          <w:sz w:val="24"/>
          <w:szCs w:val="24"/>
        </w:rPr>
        <w:t xml:space="preserve"> te za uređenje prostora za potrebe Hrvatskoga sabora na novoj lokaciji u HVU dr. Franjo Tuđman.</w:t>
      </w:r>
    </w:p>
    <w:p w:rsidR="005C60C9" w:rsidRPr="00EB24B3" w:rsidRDefault="005C60C9" w:rsidP="0053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 xml:space="preserve">Rashodi za nabavu </w:t>
      </w:r>
      <w:r w:rsidR="00537836" w:rsidRPr="00EB24B3">
        <w:rPr>
          <w:rFonts w:ascii="Times New Roman" w:hAnsi="Times New Roman" w:cs="Times New Roman"/>
          <w:b/>
          <w:i/>
          <w:sz w:val="24"/>
          <w:szCs w:val="24"/>
        </w:rPr>
        <w:t>proizvedene dugotrajne imovine</w:t>
      </w:r>
    </w:p>
    <w:p w:rsidR="005C60C9" w:rsidRPr="00EB24B3" w:rsidRDefault="005C60C9" w:rsidP="0053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="00537836" w:rsidRPr="00EB24B3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EB24B3">
        <w:rPr>
          <w:rFonts w:ascii="Times New Roman" w:hAnsi="Times New Roman" w:cs="Times New Roman"/>
          <w:sz w:val="24"/>
          <w:szCs w:val="24"/>
        </w:rPr>
        <w:t xml:space="preserve"> u 2024. godin</w:t>
      </w:r>
      <w:r w:rsidR="00F138AD" w:rsidRPr="00EB24B3">
        <w:rPr>
          <w:rFonts w:ascii="Times New Roman" w:hAnsi="Times New Roman" w:cs="Times New Roman"/>
          <w:sz w:val="24"/>
          <w:szCs w:val="24"/>
        </w:rPr>
        <w:t>i</w:t>
      </w:r>
      <w:r w:rsidRPr="00EB24B3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F138AD" w:rsidRPr="00EB2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705.198,07</w:t>
      </w:r>
      <w:r w:rsidRPr="00EB2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B24B3">
        <w:rPr>
          <w:rFonts w:ascii="Times New Roman" w:hAnsi="Times New Roman" w:cs="Times New Roman"/>
          <w:sz w:val="24"/>
          <w:szCs w:val="24"/>
        </w:rPr>
        <w:t xml:space="preserve">eura što predstavlja </w:t>
      </w:r>
      <w:r w:rsidR="00F138AD" w:rsidRPr="00EB24B3">
        <w:rPr>
          <w:rFonts w:ascii="Times New Roman" w:hAnsi="Times New Roman" w:cs="Times New Roman"/>
          <w:sz w:val="24"/>
          <w:szCs w:val="24"/>
        </w:rPr>
        <w:t>56,72</w:t>
      </w:r>
      <w:r w:rsidRPr="00EB24B3">
        <w:rPr>
          <w:rFonts w:ascii="Times New Roman" w:hAnsi="Times New Roman" w:cs="Times New Roman"/>
          <w:sz w:val="24"/>
          <w:szCs w:val="24"/>
        </w:rPr>
        <w:t>% planiranih financijskih sredstava za 2024. godinu u okviru ovih rashoda.</w:t>
      </w:r>
      <w:r w:rsidR="00537836" w:rsidRPr="00EB24B3">
        <w:rPr>
          <w:rFonts w:ascii="Times New Roman" w:hAnsi="Times New Roman" w:cs="Times New Roman"/>
          <w:sz w:val="24"/>
          <w:szCs w:val="24"/>
        </w:rPr>
        <w:t xml:space="preserve"> </w:t>
      </w:r>
      <w:r w:rsidRPr="00EB24B3">
        <w:rPr>
          <w:rFonts w:ascii="Times New Roman" w:hAnsi="Times New Roman" w:cs="Times New Roman"/>
          <w:sz w:val="24"/>
          <w:szCs w:val="24"/>
        </w:rPr>
        <w:t xml:space="preserve">Sredstva su </w:t>
      </w:r>
      <w:r w:rsidR="00F138AD" w:rsidRPr="00EB24B3">
        <w:rPr>
          <w:rFonts w:ascii="Times New Roman" w:hAnsi="Times New Roman" w:cs="Times New Roman"/>
          <w:sz w:val="24"/>
          <w:szCs w:val="24"/>
        </w:rPr>
        <w:t>izvršena z</w:t>
      </w:r>
      <w:r w:rsidRPr="00EB24B3">
        <w:rPr>
          <w:rFonts w:ascii="Times New Roman" w:hAnsi="Times New Roman" w:cs="Times New Roman"/>
          <w:sz w:val="24"/>
          <w:szCs w:val="24"/>
        </w:rPr>
        <w:t xml:space="preserve">a </w:t>
      </w:r>
      <w:r w:rsidR="00604977" w:rsidRPr="00EB24B3">
        <w:rPr>
          <w:rFonts w:ascii="Times New Roman" w:hAnsi="Times New Roman" w:cs="Times New Roman"/>
          <w:sz w:val="24"/>
          <w:szCs w:val="24"/>
        </w:rPr>
        <w:t xml:space="preserve">nadogradnju aplikativnih rješenja, </w:t>
      </w:r>
      <w:r w:rsidRPr="00EB24B3">
        <w:rPr>
          <w:rFonts w:ascii="Times New Roman" w:hAnsi="Times New Roman" w:cs="Times New Roman"/>
          <w:sz w:val="24"/>
          <w:szCs w:val="24"/>
        </w:rPr>
        <w:t xml:space="preserve">nabavu </w:t>
      </w:r>
      <w:r w:rsidR="00604977" w:rsidRPr="00EB24B3">
        <w:rPr>
          <w:rFonts w:ascii="Times New Roman" w:hAnsi="Times New Roman" w:cs="Times New Roman"/>
          <w:sz w:val="24"/>
          <w:szCs w:val="24"/>
        </w:rPr>
        <w:t xml:space="preserve">uredske i računalne opreme, komunikacijske opreme, opreme za održavanje i zaštitu, knjiga te opreme </w:t>
      </w:r>
      <w:r w:rsidR="00604977" w:rsidRPr="00EB24B3">
        <w:rPr>
          <w:rFonts w:ascii="Times New Roman" w:hAnsi="Times New Roman" w:cs="Times New Roman"/>
          <w:sz w:val="24"/>
          <w:szCs w:val="24"/>
        </w:rPr>
        <w:lastRenderedPageBreak/>
        <w:t xml:space="preserve">za potrebe </w:t>
      </w:r>
      <w:r w:rsidR="00835E22" w:rsidRPr="00EB24B3">
        <w:rPr>
          <w:rFonts w:ascii="Times New Roman" w:hAnsi="Times New Roman" w:cs="Times New Roman"/>
          <w:sz w:val="24"/>
          <w:szCs w:val="24"/>
        </w:rPr>
        <w:t>rada</w:t>
      </w:r>
      <w:r w:rsidR="00604977" w:rsidRPr="00EB24B3">
        <w:rPr>
          <w:rFonts w:ascii="Times New Roman" w:hAnsi="Times New Roman" w:cs="Times New Roman"/>
          <w:sz w:val="24"/>
          <w:szCs w:val="24"/>
        </w:rPr>
        <w:t xml:space="preserve"> Hrvatskoga sabora na novoj lokaciji u HVU dr. Franjo Tuđman zbog početka radova obnove zgrade Hrvatskoga sabora od posljedica potresa. </w:t>
      </w:r>
    </w:p>
    <w:p w:rsidR="00604977" w:rsidRPr="00EB24B3" w:rsidRDefault="00604977" w:rsidP="0053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4977" w:rsidRPr="00EB24B3" w:rsidRDefault="00604977" w:rsidP="0053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>Rashodi za dodatna ulaganja na nefinancijskoj imovini</w:t>
      </w:r>
    </w:p>
    <w:p w:rsidR="005C60C9" w:rsidRPr="00EB24B3" w:rsidRDefault="00604977" w:rsidP="005C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B3"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u 2024. godini izvršeni </w:t>
      </w:r>
      <w:r w:rsidR="00FA31BB" w:rsidRPr="00EB24B3">
        <w:rPr>
          <w:rFonts w:ascii="Times New Roman" w:hAnsi="Times New Roman" w:cs="Times New Roman"/>
          <w:sz w:val="24"/>
          <w:szCs w:val="24"/>
        </w:rPr>
        <w:t>su u iznosu 411.032,03 eura, a isti se odnose na početne radove obnove zgrade Hrvatskoga sabora od posljedica potresa te stručni nadzor istih.</w:t>
      </w:r>
    </w:p>
    <w:p w:rsidR="005C60C9" w:rsidRPr="00EB24B3" w:rsidRDefault="005C60C9" w:rsidP="005C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0C9" w:rsidRPr="00EB24B3" w:rsidRDefault="005C60C9" w:rsidP="005C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4B3">
        <w:rPr>
          <w:rFonts w:ascii="Times New Roman" w:hAnsi="Times New Roman" w:cs="Times New Roman"/>
          <w:b/>
          <w:i/>
          <w:sz w:val="24"/>
          <w:szCs w:val="24"/>
        </w:rPr>
        <w:t>Obrazloženje prijenosa sredstava iz prethodne godine i prijenosa sredstava u sljedeću godinu</w:t>
      </w:r>
    </w:p>
    <w:p w:rsidR="005C60C9" w:rsidRPr="00EB24B3" w:rsidRDefault="005C60C9" w:rsidP="005C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6" w:type="dxa"/>
        <w:tblLook w:val="04A0" w:firstRow="1" w:lastRow="0" w:firstColumn="1" w:lastColumn="0" w:noHBand="0" w:noVBand="1"/>
      </w:tblPr>
      <w:tblGrid>
        <w:gridCol w:w="7974"/>
        <w:gridCol w:w="1412"/>
      </w:tblGrid>
      <w:tr w:rsidR="00EB24B3" w:rsidRPr="00EB24B3" w:rsidTr="00160CB7">
        <w:trPr>
          <w:trHeight w:val="330"/>
        </w:trPr>
        <w:tc>
          <w:tcPr>
            <w:tcW w:w="7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SVRHA</w:t>
            </w:r>
            <w:r w:rsidR="00EB2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IZVOR FINANCIRANJA 31 VLASTITI PRIHODI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EB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IZNOS</w:t>
            </w:r>
            <w:r w:rsidR="00EB2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B24B3" w:rsidRPr="00EB24B3" w:rsidTr="00160CB7">
        <w:trPr>
          <w:trHeight w:val="330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- prenesena sredstva iz 2023. godine u 2024. godinu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sredstva temeljem Zakona o pravu na pristup informacijama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189,26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TAIEX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738,85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najam poslovnog prostora za zdravstvene usluge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25.705,76</w:t>
            </w:r>
          </w:p>
        </w:tc>
      </w:tr>
      <w:tr w:rsidR="00EB24B3" w:rsidRPr="00EB24B3" w:rsidTr="00160CB7">
        <w:trPr>
          <w:trHeight w:val="52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twinning</w:t>
            </w:r>
            <w:proofErr w:type="spellEnd"/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projekt „Osnaživanje i daljnja podrška parlamentima Bosne i Hercegovine u poslovnima EU integracija - BA 16 IPA JH 01 18"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18.719,38</w:t>
            </w:r>
          </w:p>
        </w:tc>
      </w:tr>
      <w:tr w:rsidR="00EB24B3" w:rsidRPr="00EB24B3" w:rsidTr="00160CB7">
        <w:trPr>
          <w:trHeight w:val="52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sa Hrvatskim telekomom u vezi korištenja tavanskog prostora za telekomunikacijsku infrastrukturu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35.135,06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80.488,31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- ostvareni prihod tijekom 2024. godine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najam poslovnog prostora za zdravstvene usluge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5.353,50</w:t>
            </w:r>
          </w:p>
        </w:tc>
      </w:tr>
      <w:tr w:rsidR="00EB24B3" w:rsidRPr="00EB24B3" w:rsidTr="00160CB7">
        <w:trPr>
          <w:trHeight w:val="52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sa Hrvatskim telekomom u vezi korištenja tavanskog prostora za telekomunikacijsku infrastrukturu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12.723,75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18.077,25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- izvršenje tijekom 2024. godine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52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twinning</w:t>
            </w:r>
            <w:proofErr w:type="spellEnd"/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projekt „Osnaživanje i daljnja podrška parlamentima Bosne i Hercegovine u poslovnima EU integracija - BA 16 IPA JH 01 18"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1.422,55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1.422,55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- sredstva za prijenos u 2025. godinu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sredstva temeljem Zakona o pravu na pristup informacijama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189,26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TAIEX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738,85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najam poslovnog prostora za zdravstvene usluge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31.059,26</w:t>
            </w:r>
          </w:p>
        </w:tc>
      </w:tr>
      <w:tr w:rsidR="00EB24B3" w:rsidRPr="00EB24B3" w:rsidTr="00160CB7">
        <w:trPr>
          <w:trHeight w:val="52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twinning</w:t>
            </w:r>
            <w:proofErr w:type="spellEnd"/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projekt „Osnaživanje i daljnja podrška parlamentima Bosne i Hercegovine u poslovnima EU integracija - BA 16 IPA JH 01 18"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17.296,83</w:t>
            </w:r>
          </w:p>
        </w:tc>
      </w:tr>
      <w:tr w:rsidR="00EB24B3" w:rsidRPr="00EB24B3" w:rsidTr="00160CB7">
        <w:trPr>
          <w:trHeight w:val="52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sa Hrvatskim telekomom u vezi korištenja tavanskog prostora za telekomunikacijsku infrastrukturu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47.858,81</w:t>
            </w:r>
          </w:p>
        </w:tc>
      </w:tr>
      <w:tr w:rsidR="00EB24B3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60CB7" w:rsidRPr="00EB24B3" w:rsidTr="00160CB7">
        <w:trPr>
          <w:trHeight w:val="315"/>
        </w:trPr>
        <w:tc>
          <w:tcPr>
            <w:tcW w:w="7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CB7" w:rsidRPr="00EB24B3" w:rsidRDefault="00160CB7" w:rsidP="00160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B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97.143,01</w:t>
            </w:r>
          </w:p>
        </w:tc>
      </w:tr>
    </w:tbl>
    <w:p w:rsidR="000D0A1C" w:rsidRPr="00EB24B3" w:rsidRDefault="000D0A1C" w:rsidP="00D23C40"/>
    <w:sectPr w:rsidR="000D0A1C" w:rsidRPr="00EB24B3" w:rsidSect="00C169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7BE5"/>
    <w:multiLevelType w:val="hybridMultilevel"/>
    <w:tmpl w:val="959CEDF8"/>
    <w:lvl w:ilvl="0" w:tplc="7492793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651E"/>
    <w:rsid w:val="00086C35"/>
    <w:rsid w:val="000C5C8F"/>
    <w:rsid w:val="000D0A1C"/>
    <w:rsid w:val="000D5ADF"/>
    <w:rsid w:val="000E4C13"/>
    <w:rsid w:val="001069C3"/>
    <w:rsid w:val="00134533"/>
    <w:rsid w:val="0014108D"/>
    <w:rsid w:val="001415BF"/>
    <w:rsid w:val="00143D69"/>
    <w:rsid w:val="00160CB7"/>
    <w:rsid w:val="00163A8F"/>
    <w:rsid w:val="0018311C"/>
    <w:rsid w:val="001866D8"/>
    <w:rsid w:val="00186B7B"/>
    <w:rsid w:val="001B4B46"/>
    <w:rsid w:val="001B6898"/>
    <w:rsid w:val="001C5825"/>
    <w:rsid w:val="00224C03"/>
    <w:rsid w:val="00245B1D"/>
    <w:rsid w:val="00273EEC"/>
    <w:rsid w:val="00274985"/>
    <w:rsid w:val="00276690"/>
    <w:rsid w:val="00286AAD"/>
    <w:rsid w:val="002921AA"/>
    <w:rsid w:val="002951EB"/>
    <w:rsid w:val="0029735D"/>
    <w:rsid w:val="0029750E"/>
    <w:rsid w:val="00297F7A"/>
    <w:rsid w:val="003257C4"/>
    <w:rsid w:val="00352BD0"/>
    <w:rsid w:val="003757E9"/>
    <w:rsid w:val="003A22DB"/>
    <w:rsid w:val="003B3DD9"/>
    <w:rsid w:val="003F2094"/>
    <w:rsid w:val="00407290"/>
    <w:rsid w:val="004201B4"/>
    <w:rsid w:val="00431D64"/>
    <w:rsid w:val="00466878"/>
    <w:rsid w:val="004966B2"/>
    <w:rsid w:val="004B4366"/>
    <w:rsid w:val="004F7333"/>
    <w:rsid w:val="00523C3D"/>
    <w:rsid w:val="00537836"/>
    <w:rsid w:val="00552755"/>
    <w:rsid w:val="00554A7D"/>
    <w:rsid w:val="00556678"/>
    <w:rsid w:val="005722A3"/>
    <w:rsid w:val="00595CE0"/>
    <w:rsid w:val="005C1418"/>
    <w:rsid w:val="005C60C9"/>
    <w:rsid w:val="005D4C9E"/>
    <w:rsid w:val="005F044C"/>
    <w:rsid w:val="00604977"/>
    <w:rsid w:val="00605080"/>
    <w:rsid w:val="00624C16"/>
    <w:rsid w:val="00630D61"/>
    <w:rsid w:val="00674E67"/>
    <w:rsid w:val="006B35BC"/>
    <w:rsid w:val="006C3818"/>
    <w:rsid w:val="006E3F5D"/>
    <w:rsid w:val="006F0889"/>
    <w:rsid w:val="007041A1"/>
    <w:rsid w:val="00705CC9"/>
    <w:rsid w:val="0072334A"/>
    <w:rsid w:val="00726A03"/>
    <w:rsid w:val="00737533"/>
    <w:rsid w:val="007955E8"/>
    <w:rsid w:val="007B6108"/>
    <w:rsid w:val="007E7B03"/>
    <w:rsid w:val="007F6CB5"/>
    <w:rsid w:val="008160D8"/>
    <w:rsid w:val="00820F56"/>
    <w:rsid w:val="0082379E"/>
    <w:rsid w:val="00835E22"/>
    <w:rsid w:val="008619A8"/>
    <w:rsid w:val="008666E4"/>
    <w:rsid w:val="00886D68"/>
    <w:rsid w:val="008A1689"/>
    <w:rsid w:val="008A4887"/>
    <w:rsid w:val="008A768B"/>
    <w:rsid w:val="008B7A9F"/>
    <w:rsid w:val="008D2171"/>
    <w:rsid w:val="008E3A2C"/>
    <w:rsid w:val="008E63ED"/>
    <w:rsid w:val="009016B5"/>
    <w:rsid w:val="0093636E"/>
    <w:rsid w:val="0094274B"/>
    <w:rsid w:val="00962115"/>
    <w:rsid w:val="00967313"/>
    <w:rsid w:val="00975BA7"/>
    <w:rsid w:val="0098295F"/>
    <w:rsid w:val="009D5CB7"/>
    <w:rsid w:val="009D7CA0"/>
    <w:rsid w:val="009E7749"/>
    <w:rsid w:val="009F3A75"/>
    <w:rsid w:val="00A02AFD"/>
    <w:rsid w:val="00A10EEB"/>
    <w:rsid w:val="00A550B9"/>
    <w:rsid w:val="00A84D77"/>
    <w:rsid w:val="00AC288F"/>
    <w:rsid w:val="00AE2812"/>
    <w:rsid w:val="00B007FF"/>
    <w:rsid w:val="00B52266"/>
    <w:rsid w:val="00B54D93"/>
    <w:rsid w:val="00B7793B"/>
    <w:rsid w:val="00BA3D95"/>
    <w:rsid w:val="00BA7AE1"/>
    <w:rsid w:val="00BB6047"/>
    <w:rsid w:val="00BC1AC9"/>
    <w:rsid w:val="00BD0D10"/>
    <w:rsid w:val="00BD4A78"/>
    <w:rsid w:val="00BF010E"/>
    <w:rsid w:val="00BF44C6"/>
    <w:rsid w:val="00C041FF"/>
    <w:rsid w:val="00C169ED"/>
    <w:rsid w:val="00C20F54"/>
    <w:rsid w:val="00C3712F"/>
    <w:rsid w:val="00C73731"/>
    <w:rsid w:val="00CA12E2"/>
    <w:rsid w:val="00CA23CA"/>
    <w:rsid w:val="00CA5EFD"/>
    <w:rsid w:val="00D019AB"/>
    <w:rsid w:val="00D12B5B"/>
    <w:rsid w:val="00D23C40"/>
    <w:rsid w:val="00D45561"/>
    <w:rsid w:val="00DA2EC7"/>
    <w:rsid w:val="00DC3AC2"/>
    <w:rsid w:val="00DD2586"/>
    <w:rsid w:val="00DE1EB0"/>
    <w:rsid w:val="00DF306E"/>
    <w:rsid w:val="00DF4067"/>
    <w:rsid w:val="00DF778D"/>
    <w:rsid w:val="00E24DCA"/>
    <w:rsid w:val="00E34EA9"/>
    <w:rsid w:val="00E47173"/>
    <w:rsid w:val="00E51247"/>
    <w:rsid w:val="00E745C8"/>
    <w:rsid w:val="00E74D93"/>
    <w:rsid w:val="00E750B8"/>
    <w:rsid w:val="00E901E5"/>
    <w:rsid w:val="00E95516"/>
    <w:rsid w:val="00EA4305"/>
    <w:rsid w:val="00EB24B3"/>
    <w:rsid w:val="00EC2AD6"/>
    <w:rsid w:val="00ED72C6"/>
    <w:rsid w:val="00F138AD"/>
    <w:rsid w:val="00F471E7"/>
    <w:rsid w:val="00F70550"/>
    <w:rsid w:val="00F762B3"/>
    <w:rsid w:val="00F81866"/>
    <w:rsid w:val="00FA31BB"/>
    <w:rsid w:val="00FB28D9"/>
    <w:rsid w:val="00FC2162"/>
    <w:rsid w:val="00FF3FA0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6EC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0C9"/>
    <w:pPr>
      <w:spacing w:line="256" w:lineRule="auto"/>
    </w:pPr>
  </w:style>
  <w:style w:type="paragraph" w:styleId="Heading2">
    <w:name w:val="heading 2"/>
    <w:basedOn w:val="Normal"/>
    <w:next w:val="Normal"/>
    <w:link w:val="Heading2Char"/>
    <w:qFormat/>
    <w:rsid w:val="000E4C13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 w:val="0"/>
      <w:autoSpaceDE w:val="0"/>
      <w:autoSpaceDN w:val="0"/>
      <w:adjustRightInd w:val="0"/>
      <w:spacing w:after="12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E4C13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C5C8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31D6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431D64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431D64"/>
  </w:style>
  <w:style w:type="paragraph" w:styleId="BalloonText">
    <w:name w:val="Balloon Text"/>
    <w:basedOn w:val="Normal"/>
    <w:link w:val="BalloonTextChar"/>
    <w:uiPriority w:val="99"/>
    <w:semiHidden/>
    <w:unhideWhenUsed/>
    <w:rsid w:val="005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Horvatić</cp:lastModifiedBy>
  <cp:revision>11</cp:revision>
  <cp:lastPrinted>2023-08-29T08:05:00Z</cp:lastPrinted>
  <dcterms:created xsi:type="dcterms:W3CDTF">2024-08-13T17:00:00Z</dcterms:created>
  <dcterms:modified xsi:type="dcterms:W3CDTF">2025-04-04T08:51:00Z</dcterms:modified>
</cp:coreProperties>
</file>