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sectPr w:rsidR="007A7E45" w:rsidRPr="00FE4B89" w:rsidSect="00F91724">
      <w:headerReference w:type="default" r:id="rId7"/>
      <w:footerReference w:type="default" r:id="rId8"/>
      <w:type w:val="continuous"/>
      <w:pgSz w:w="11906" w:h="16838"/>
      <w:pgMar w:top="851" w:right="851" w:bottom="851" w:left="851" w:header="709" w:footer="709" w:gutter="0"/>
      <w:cols w:space="708"/>
      <w:docGrid w:linePitch="360"/>
    </w:sectPr>
    <w:p>
      <w:pPr>
        <w:jc w:val="left"/>
        <w:pStyle w:val="Heading1"/>
      </w:pPr>
      <w:r>
        <w:rPr>
          <w:rFonts w:hAnsi="Times New Roman" w:cs="Times New Roman"/>
        </w:rPr>
        <w:t xml:space="preserve">010 HRVATSKI SABOR</w:t>
      </w:r>
    </w:p>
    <w:p>
      <w:pPr>
        <w:jc w:val="both"/>
        <w:pStyle w:val="Normal"/>
      </w:pPr>
      <w:r>
        <w:rPr>
          <w:rFonts w:hAnsi="Times New Roman" w:cs="Times New Roman"/>
        </w:rPr>
        <w:t xml:space="preserve">Hrvatski sabor je predstavničko tijelo građana i nositelj zakonodavne vlasti u Republici Hrvatskoj. U ostvarivanju svojih Ustavnih zadaća Hrvatski sabor redovito zasjeda između 15. siječnja i 15. srpnja te između 15. rujna i 15. prosinca, a može, na zahtjev Predsjednika Republike, Vlade Republike Hrvatske ili većine zastupnika, zasjedati i izvanredno. 
</w:t>
      </w:r>
    </w:p>
    <w:p>
      <w:pPr>
        <w:jc w:val="both"/>
        <w:pStyle w:val="Normal"/>
      </w:pPr>
      <w:r>
        <w:rPr>
          <w:rFonts w:hAnsi="Times New Roman" w:cs="Times New Roman"/>
        </w:rPr>
        <w:t xml:space="preserve">Aktualni, jedanaesti saziv Hrvatskoga sabora konstituiran je 16. svibnja 2024. godine na temelju rezultata izbora za zastupnike u Hrvatski sabor, održanih 17. travnja 2024. godine u dvanaest izbornih jedinica. 
</w:t>
      </w:r>
    </w:p>
    <w:p>
      <w:pPr>
        <w:jc w:val="both"/>
        <w:pStyle w:val="Normal"/>
      </w:pPr>
      <w:r>
        <w:rPr>
          <w:rFonts w:hAnsi="Times New Roman" w:cs="Times New Roman"/>
        </w:rPr>
        <w:t xml:space="preserve">Unutarnje ustrojstvo Hrvatskoga sabora određeno je Poslovnikom. Prema Poslovniku, zastupnici sudjeluju u radu plenarne sjednice, podnose prijedloge zakona i drugih akata, upućuju pitanja predsjedniku i članovima Vlade, sudjeluju u radu sjednica radnih tijela te u radu drugih tijela u koja su imenovani odlukama Sabora. Zastupnici mogu osnivati klubove pod uvjetima koje propisuje Poslovnik. Predsjednici klubova zastupnika s Predsjedništvom raspravljaju o dnevnom redu predstojeće sjednice Sabora i drugim važnim pitanjima za rad Sabora. Stručne i administrativne, sigurnosne, tehničke i druge poslove obavlja Stručna služba čiji rad usmjerava i usklađuje tajnik Sabora i odgovoran je za njezin rad. 
</w:t>
      </w:r>
    </w:p>
    <w:p>
      <w:pPr>
        <w:jc w:val="both"/>
        <w:pStyle w:val="Normal"/>
      </w:pPr>
      <w:r>
        <w:rPr>
          <w:rFonts w:hAnsi="Times New Roman" w:cs="Times New Roman"/>
        </w:rPr>
        <w:t xml:space="preserve">Stručna služba obavlja poslove koji se odnose na: stručne administrativne i sigurnosne poslove u pripremi i organiziranju sjednica Sabora, pripremu i objavu donesenih zakona, odluka i zaključaka Sabora, praćenje izvršavanja zaključaka Sabora, rad izaslanstava Sabora, poslove za zastupnike i klubove zastupnika, poslove iz djelokruga radno-pravnih odnosa, poslove u svezi s obavješćivanjem javnosti o radu Sabora i njegovih radnih tijela, materijalno i financijsko poslovanje Sabora, poslove u vezi s tiskanjem, otpremom, arhiviranjem dokumentacije i akata Sabora,  poslove nadzora ulaska u zgrade Sabora, pružanje stručne i administrativne podrške zastupnicima u obavljanju zadaća vezano uz međunarodnu suradnju te poslove u okviru parlamentarne dimenzije Europske unije. 
</w:t>
      </w:r>
    </w:p>
    <w:p>
      <w:pPr>
        <w:jc w:val="both"/>
        <w:pStyle w:val="Normal"/>
      </w:pPr>
      <w:r>
        <w:rPr>
          <w:rFonts w:hAnsi="Times New Roman" w:cs="Times New Roman"/>
        </w:rPr>
        <w:t xml:space="preserve">U narednom trogodišnjem razdoblju rashodi Hrvatskoga sabora bit će usmjereni na ostvarivanje ustavnih, poslovničkih i zakonskih zadaća, pružanje operativne podrške radu zastupnika,  nastavak modernizacije aplikativnih rješenja, podmirenje fiksnih i ugovornih obveza te osiguranje tehničkih uvjeta za povratak na matičnu lokaciju nakon završetka obnove zgrade Hrvatskoga sabora od posljedica potresa te energetske obnove.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01005-Hrvatski sabor</w:t>
            </w:r>
          </w:p>
        </w:tc>
        <w:tc>
          <w:tcPr>
            <w:tcW w:w="1632.96" w:type="dxa"/>
            <w:vAlign w:val="center"/>
          </w:tcPr>
          <w:p>
            <w:pPr>
              <w:jc w:val="both"/>
              <w:pStyle w:val="CellColumn"/>
            </w:pPr>
            <w:r>
              <w:rPr>
                <w:rFonts w:hAnsi="Times New Roman" w:cs="Times New Roman"/>
              </w:rPr>
              <w:t xml:space="preserve">25.478.832</w:t>
            </w:r>
          </w:p>
        </w:tc>
        <w:tc>
          <w:tcPr>
            <w:tcW w:w="1632.96" w:type="dxa"/>
            <w:vAlign w:val="center"/>
          </w:tcPr>
          <w:p>
            <w:pPr>
              <w:jc w:val="both"/>
              <w:pStyle w:val="CellColumn"/>
            </w:pPr>
            <w:r>
              <w:rPr>
                <w:rFonts w:hAnsi="Times New Roman" w:cs="Times New Roman"/>
              </w:rPr>
              <w:t xml:space="preserve">40.822.960</w:t>
            </w:r>
          </w:p>
        </w:tc>
        <w:tc>
          <w:tcPr>
            <w:tcW w:w="1632.96" w:type="dxa"/>
            <w:vAlign w:val="center"/>
          </w:tcPr>
          <w:p>
            <w:pPr>
              <w:jc w:val="both"/>
              <w:pStyle w:val="CellColumn"/>
            </w:pPr>
            <w:r>
              <w:rPr>
                <w:rFonts w:hAnsi="Times New Roman" w:cs="Times New Roman"/>
              </w:rPr>
              <w:t xml:space="preserve">33.190.537</w:t>
            </w:r>
          </w:p>
        </w:tc>
        <w:tc>
          <w:tcPr>
            <w:tcW w:w="1632.96" w:type="dxa"/>
            <w:vAlign w:val="center"/>
          </w:tcPr>
          <w:p>
            <w:pPr>
              <w:jc w:val="both"/>
              <w:pStyle w:val="CellColumn"/>
            </w:pPr>
            <w:r>
              <w:rPr>
                <w:rFonts w:hAnsi="Times New Roman" w:cs="Times New Roman"/>
              </w:rPr>
              <w:t xml:space="preserve">44.620.993</w:t>
            </w:r>
          </w:p>
        </w:tc>
        <w:tc>
          <w:tcPr>
            <w:tcW w:w="1632.96" w:type="dxa"/>
            <w:vAlign w:val="center"/>
          </w:tcPr>
          <w:p>
            <w:pPr>
              <w:jc w:val="both"/>
              <w:pStyle w:val="CellColumn"/>
            </w:pPr>
            <w:r>
              <w:rPr>
                <w:rFonts w:hAnsi="Times New Roman" w:cs="Times New Roman"/>
              </w:rPr>
              <w:t xml:space="preserve">36.546.067</w:t>
            </w:r>
          </w:p>
        </w:tc>
        <w:tc>
          <w:tcPr>
            <w:tcW w:w="510.3" w:type="dxa"/>
            <w:vAlign w:val="center"/>
          </w:tcPr>
          <w:p>
            <w:pPr>
              <w:jc w:val="both"/>
              <w:pStyle w:val="CellColumn"/>
            </w:pPr>
            <w:r>
              <w:rPr>
                <w:rFonts w:hAnsi="Times New Roman" w:cs="Times New Roman"/>
              </w:rPr>
              <w:t xml:space="preserve">81,3</w:t>
            </w:r>
          </w:p>
        </w:tc>
      </w:tr>
      <w:tr>
        <w:trPr>
          <w:cantSplit/>
        </w:trPr>
        <w:tc>
          <w:tcPr>
            <w:tcW w:w="1530.8999999999999" w:type="dxa"/>
            <w:vAlign w:val="center"/>
            <w:shd w:val="clear" w:color="auto" w:fill="b5c0d8"/>
          </w:tcPr>
          <w:p>
            <w:pPr>
              <w:jc w:val="both"/>
              <w:pStyle w:val="CellColumn"/>
            </w:pPr>
            <w:r>
              <w:rPr>
                <w:rFonts w:hAnsi="Times New Roman" w:cs="Times New Roman"/>
              </w:rPr>
              <w:t xml:space="preserve">Ukupno 010</w:t>
            </w:r>
          </w:p>
        </w:tc>
        <w:tc>
          <w:tcPr>
            <w:tcW w:w="1632.96" w:type="dxa"/>
            <w:vAlign w:val="center"/>
            <w:shd w:val="clear" w:color="auto" w:fill="b5c0d8"/>
          </w:tcPr>
          <w:p>
            <w:pPr>
              <w:jc w:val="both"/>
              <w:pStyle w:val="CellColumn"/>
            </w:pPr>
            <w:r>
              <w:rPr>
                <w:rFonts w:hAnsi="Times New Roman" w:cs="Times New Roman"/>
              </w:rPr>
              <w:t xml:space="preserve">25.478.832</w:t>
            </w:r>
          </w:p>
        </w:tc>
        <w:tc>
          <w:tcPr>
            <w:tcW w:w="1632.96" w:type="dxa"/>
            <w:vAlign w:val="center"/>
            <w:shd w:val="clear" w:color="auto" w:fill="b5c0d8"/>
          </w:tcPr>
          <w:p>
            <w:pPr>
              <w:jc w:val="both"/>
              <w:pStyle w:val="CellColumn"/>
            </w:pPr>
            <w:r>
              <w:rPr>
                <w:rFonts w:hAnsi="Times New Roman" w:cs="Times New Roman"/>
              </w:rPr>
              <w:t xml:space="preserve">40.822.960</w:t>
            </w:r>
          </w:p>
        </w:tc>
        <w:tc>
          <w:tcPr>
            <w:tcW w:w="1632.96" w:type="dxa"/>
            <w:vAlign w:val="center"/>
            <w:shd w:val="clear" w:color="auto" w:fill="b5c0d8"/>
          </w:tcPr>
          <w:p>
            <w:pPr>
              <w:jc w:val="both"/>
              <w:pStyle w:val="CellColumn"/>
            </w:pPr>
            <w:r>
              <w:rPr>
                <w:rFonts w:hAnsi="Times New Roman" w:cs="Times New Roman"/>
              </w:rPr>
              <w:t xml:space="preserve">33.190.537</w:t>
            </w:r>
          </w:p>
        </w:tc>
        <w:tc>
          <w:tcPr>
            <w:tcW w:w="1632.96" w:type="dxa"/>
            <w:vAlign w:val="center"/>
            <w:shd w:val="clear" w:color="auto" w:fill="b5c0d8"/>
          </w:tcPr>
          <w:p>
            <w:pPr>
              <w:jc w:val="both"/>
              <w:pStyle w:val="CellColumn"/>
            </w:pPr>
            <w:r>
              <w:rPr>
                <w:rFonts w:hAnsi="Times New Roman" w:cs="Times New Roman"/>
              </w:rPr>
              <w:t xml:space="preserve">44.620.993</w:t>
            </w:r>
          </w:p>
        </w:tc>
        <w:tc>
          <w:tcPr>
            <w:tcW w:w="1632.96" w:type="dxa"/>
            <w:vAlign w:val="center"/>
            <w:shd w:val="clear" w:color="auto" w:fill="b5c0d8"/>
          </w:tcPr>
          <w:p>
            <w:pPr>
              <w:jc w:val="both"/>
              <w:pStyle w:val="CellColumn"/>
            </w:pPr>
            <w:r>
              <w:rPr>
                <w:rFonts w:hAnsi="Times New Roman" w:cs="Times New Roman"/>
              </w:rPr>
              <w:t xml:space="preserve">36.546.067</w:t>
            </w:r>
          </w:p>
        </w:tc>
        <w:tc>
          <w:tcPr>
            <w:tcW w:w="510.3" w:type="dxa"/>
            <w:vAlign w:val="center"/>
            <w:shd w:val="clear" w:color="auto" w:fill="b5c0d8"/>
          </w:tcPr>
          <w:p>
            <w:pPr>
              <w:jc w:val="both"/>
              <w:pStyle w:val="CellColumn"/>
            </w:pPr>
            <w:r>
              <w:rPr>
                <w:rFonts w:hAnsi="Times New Roman" w:cs="Times New Roman"/>
              </w:rPr>
              <w:t xml:space="preserve">81,3</w:t>
            </w:r>
          </w:p>
        </w:tc>
      </w:tr>
    </w:tbl>
    <w:p>
      <w:pPr>
        <w:jc w:val="left"/>
      </w:pPr>
      <w:r>
        <w:rPr>
          <w:rFonts w:hAnsi="Times New Roman" w:cs="Times New Roman"/>
        </w:rPr>
        <w:t xml:space="preserve"/>
      </w:r>
    </w:p>
    <w:p>
      <w:pPr>
        <w:jc w:val="left"/>
        <w:pStyle w:val="Heading2"/>
      </w:pPr>
      <w:r>
        <w:rPr>
          <w:rFonts w:hAnsi="Times New Roman" w:cs="Times New Roman"/>
        </w:rPr>
        <w:t xml:space="preserve">01005 Hrvatski sabor</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01005-Hrvatski sabor</w:t>
            </w:r>
          </w:p>
        </w:tc>
        <w:tc>
          <w:tcPr>
            <w:tcW w:w="1632.96" w:type="dxa"/>
            <w:vAlign w:val="center"/>
          </w:tcPr>
          <w:p>
            <w:pPr>
              <w:jc w:val="both"/>
              <w:pStyle w:val="CellColumn"/>
            </w:pPr>
            <w:r>
              <w:rPr>
                <w:rFonts w:hAnsi="Times New Roman" w:cs="Times New Roman"/>
              </w:rPr>
              <w:t xml:space="preserve">25.478.832</w:t>
            </w:r>
          </w:p>
        </w:tc>
        <w:tc>
          <w:tcPr>
            <w:tcW w:w="1632.96" w:type="dxa"/>
            <w:vAlign w:val="center"/>
          </w:tcPr>
          <w:p>
            <w:pPr>
              <w:jc w:val="both"/>
              <w:pStyle w:val="CellColumn"/>
            </w:pPr>
            <w:r>
              <w:rPr>
                <w:rFonts w:hAnsi="Times New Roman" w:cs="Times New Roman"/>
              </w:rPr>
              <w:t xml:space="preserve">40.822.960</w:t>
            </w:r>
          </w:p>
        </w:tc>
        <w:tc>
          <w:tcPr>
            <w:tcW w:w="1632.96" w:type="dxa"/>
            <w:vAlign w:val="center"/>
          </w:tcPr>
          <w:p>
            <w:pPr>
              <w:jc w:val="both"/>
              <w:pStyle w:val="CellColumn"/>
            </w:pPr>
            <w:r>
              <w:rPr>
                <w:rFonts w:hAnsi="Times New Roman" w:cs="Times New Roman"/>
              </w:rPr>
              <w:t xml:space="preserve">33.190.537</w:t>
            </w:r>
          </w:p>
        </w:tc>
        <w:tc>
          <w:tcPr>
            <w:tcW w:w="1632.96" w:type="dxa"/>
            <w:vAlign w:val="center"/>
          </w:tcPr>
          <w:p>
            <w:pPr>
              <w:jc w:val="both"/>
              <w:pStyle w:val="CellColumn"/>
            </w:pPr>
            <w:r>
              <w:rPr>
                <w:rFonts w:hAnsi="Times New Roman" w:cs="Times New Roman"/>
              </w:rPr>
              <w:t xml:space="preserve">44.620.993</w:t>
            </w:r>
          </w:p>
        </w:tc>
        <w:tc>
          <w:tcPr>
            <w:tcW w:w="1632.96" w:type="dxa"/>
            <w:vAlign w:val="center"/>
          </w:tcPr>
          <w:p>
            <w:pPr>
              <w:jc w:val="both"/>
              <w:pStyle w:val="CellColumn"/>
            </w:pPr>
            <w:r>
              <w:rPr>
                <w:rFonts w:hAnsi="Times New Roman" w:cs="Times New Roman"/>
              </w:rPr>
              <w:t xml:space="preserve">36.546.067</w:t>
            </w:r>
          </w:p>
        </w:tc>
        <w:tc>
          <w:tcPr>
            <w:tcW w:w="510.3" w:type="dxa"/>
            <w:vAlign w:val="center"/>
          </w:tcPr>
          <w:p>
            <w:pPr>
              <w:jc w:val="both"/>
              <w:pStyle w:val="CellColumn"/>
            </w:pPr>
            <w:r>
              <w:rPr>
                <w:rFonts w:hAnsi="Times New Roman" w:cs="Times New Roman"/>
              </w:rPr>
              <w:t xml:space="preserve">81,3</w:t>
            </w:r>
          </w:p>
        </w:tc>
      </w:tr>
    </w:tbl>
    <w:p>
      <w:pPr>
        <w:jc w:val="left"/>
      </w:pPr>
      <w:r>
        <w:rPr>
          <w:rFonts w:hAnsi="Times New Roman" w:cs="Times New Roman"/>
        </w:rPr>
        <w:t xml:space="preserve"/>
      </w:r>
    </w:p>
    <w:p>
      <w:pPr>
        <w:jc w:val="left"/>
        <w:pStyle w:val="Heading3"/>
      </w:pPr>
      <w:r>
        <w:rPr>
          <w:rFonts w:hAnsi="Times New Roman" w:cs="Times New Roman"/>
        </w:rPr>
        <w:t xml:space="preserve">2101 PROVOĐENJE ZAKONODAVNE VLASTI</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2101-PROVOĐENJE ZAKONODAVNE VLASTI</w:t>
            </w:r>
          </w:p>
        </w:tc>
        <w:tc>
          <w:tcPr>
            <w:tcW w:w="1632.96" w:type="dxa"/>
            <w:vAlign w:val="center"/>
          </w:tcPr>
          <w:p>
            <w:pPr>
              <w:jc w:val="both"/>
              <w:pStyle w:val="CellColumn"/>
            </w:pPr>
            <w:r>
              <w:rPr>
                <w:rFonts w:hAnsi="Times New Roman" w:cs="Times New Roman"/>
              </w:rPr>
              <w:t xml:space="preserve">25.478.832</w:t>
            </w:r>
          </w:p>
        </w:tc>
        <w:tc>
          <w:tcPr>
            <w:tcW w:w="1632.96" w:type="dxa"/>
            <w:vAlign w:val="center"/>
          </w:tcPr>
          <w:p>
            <w:pPr>
              <w:jc w:val="both"/>
              <w:pStyle w:val="CellColumn"/>
            </w:pPr>
            <w:r>
              <w:rPr>
                <w:rFonts w:hAnsi="Times New Roman" w:cs="Times New Roman"/>
              </w:rPr>
              <w:t xml:space="preserve">40.822.960</w:t>
            </w:r>
          </w:p>
        </w:tc>
        <w:tc>
          <w:tcPr>
            <w:tcW w:w="1632.96" w:type="dxa"/>
            <w:vAlign w:val="center"/>
          </w:tcPr>
          <w:p>
            <w:pPr>
              <w:jc w:val="both"/>
              <w:pStyle w:val="CellColumn"/>
            </w:pPr>
            <w:r>
              <w:rPr>
                <w:rFonts w:hAnsi="Times New Roman" w:cs="Times New Roman"/>
              </w:rPr>
              <w:t xml:space="preserve">33.190.537</w:t>
            </w:r>
          </w:p>
        </w:tc>
        <w:tc>
          <w:tcPr>
            <w:tcW w:w="1632.96" w:type="dxa"/>
            <w:vAlign w:val="center"/>
          </w:tcPr>
          <w:p>
            <w:pPr>
              <w:jc w:val="both"/>
              <w:pStyle w:val="CellColumn"/>
            </w:pPr>
            <w:r>
              <w:rPr>
                <w:rFonts w:hAnsi="Times New Roman" w:cs="Times New Roman"/>
              </w:rPr>
              <w:t xml:space="preserve">44.620.993</w:t>
            </w:r>
          </w:p>
        </w:tc>
        <w:tc>
          <w:tcPr>
            <w:tcW w:w="1632.96" w:type="dxa"/>
            <w:vAlign w:val="center"/>
          </w:tcPr>
          <w:p>
            <w:pPr>
              <w:jc w:val="both"/>
              <w:pStyle w:val="CellColumn"/>
            </w:pPr>
            <w:r>
              <w:rPr>
                <w:rFonts w:hAnsi="Times New Roman" w:cs="Times New Roman"/>
              </w:rPr>
              <w:t xml:space="preserve">36.546.067</w:t>
            </w:r>
          </w:p>
        </w:tc>
        <w:tc>
          <w:tcPr>
            <w:tcW w:w="510.3" w:type="dxa"/>
            <w:vAlign w:val="center"/>
          </w:tcPr>
          <w:p>
            <w:pPr>
              <w:jc w:val="both"/>
              <w:pStyle w:val="CellColumn"/>
            </w:pPr>
            <w:r>
              <w:rPr>
                <w:rFonts w:hAnsi="Times New Roman" w:cs="Times New Roman"/>
              </w:rPr>
              <w:t xml:space="preserve">81,3</w:t>
            </w:r>
          </w:p>
        </w:tc>
      </w:tr>
    </w:tbl>
    <w:p>
      <w:pPr>
        <w:jc w:val="left"/>
      </w:pPr>
      <w:r>
        <w:rPr>
          <w:rFonts w:hAnsi="Times New Roman" w:cs="Times New Roman"/>
        </w:rPr>
        <w:t xml:space="preserve"/>
      </w:r>
    </w:p>
    <w:p>
      <w:pPr>
        <w:jc w:val="both"/>
        <w:pStyle w:val="Normal5"/>
      </w:pPr>
      <w:r>
        <w:rPr>
          <w:rFonts w:hAnsi="Times New Roman" w:cs="Times New Roman"/>
        </w:rPr>
        <w:t xml:space="preserve">Sukladno Ustavu Republike Hrvatske Sabor odlučuje o donošenju i promjeni Ustava, donosi zakone, donosi državni proračun, odlučuje o ratu i miru, donosi akte kojima izražava politiku Hrvatskoga sabora, donosi Strategiju nacionalne sigurnosti i Strategiju obrane Republike Hrvatske, ostvaruje građanski nadzor nad oružanim snagama i službama sigurnosti Republike Hrvatske, odlučuje o promjeni granica Republike Hrvatske, raspisuje referendum, obavlja izbore, imenovanja i razrješenja, u skladu s Ustavom i zakonom, nadzire rad Vlade Republike Hrvatske i drugih nositelja javnih dužnosti odgovornih Hrvatskom saboru, u skladu s Ustavom i zakonom, daje amnestiju za kaznena djela te obavlja druge poslove utvrđene Ustavom. U okviru provođenja međunarodne suradnje, Hrvatski sabor sudjeluje u radu međunarodnih organizacija, kojih je Republika Hrvatska članica, a koje imaju parlamentarnu dimenziju.</w:t>
      </w:r>
    </w:p>
    <w:p>
      <w:pPr>
        <w:jc w:val="left"/>
        <w:pStyle w:val="Heading7"/>
      </w:pPr>
      <w:r>
        <w:rPr>
          <w:rFonts w:hAnsi="Times New Roman" w:cs="Times New Roman"/>
        </w:rPr>
        <w:t xml:space="preserve">Cilj 1. Osigurati vladavinu prava i pravnu sigurnost građana u okviru djelokruga Hrvatskoga sabora</w:t>
      </w:r>
    </w:p>
    <w:p>
      <w:pPr>
        <w:jc w:val="left"/>
        <w:pStyle w:val="Heading8"/>
      </w:pPr>
      <w:r>
        <w:rPr>
          <w:rFonts w:hAnsi="Times New Roman" w:cs="Times New Roman"/>
        </w:rPr>
        <w:t xml:space="preserve">Pokazatelji učinka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učinka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918.54"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Izvršavanje ustavnih ovlasti i potpuna provedba Poslovnika Hrvatskog sabora</w:t>
            </w:r>
          </w:p>
        </w:tc>
        <w:tc>
          <w:tcPr>
            <w:tcW w:w="2245.32" w:type="dxa"/>
            <w:vAlign w:val="center"/>
          </w:tcPr>
          <w:p>
            <w:pPr>
              <w:jc w:val="both"/>
              <w:pStyle w:val="CellColumn"/>
            </w:pPr>
            <w:r>
              <w:rPr>
                <w:rFonts w:hAnsi="Times New Roman" w:cs="Times New Roman"/>
              </w:rPr>
              <w:t xml:space="preserve">Učinkovit i transparentan postupak donošenja zakona i drugih propisa te izvršavanje ustavnih ovlasti Sabora sukladno Ustavu RH i Poslovniku</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Poslovnik Hrvatskog sabora</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A501000 ADMINISTRACIJA I UPRAVLJANJE</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Ustav Republike Hrvatske, 
</w:t>
      </w:r>
    </w:p>
    <w:p>
      <w:pPr>
        <w:jc w:val="both"/>
        <w:pStyle w:val="Normal5"/>
      </w:pPr>
      <w:r>
        <w:rPr>
          <w:rFonts w:hAnsi="Times New Roman" w:cs="Times New Roman"/>
        </w:rPr>
        <w:t xml:space="preserve">Poslovnik Hrvatskoga sabora, 
</w:t>
      </w:r>
    </w:p>
    <w:p>
      <w:pPr>
        <w:jc w:val="both"/>
        <w:pStyle w:val="Normal5"/>
      </w:pPr>
      <w:r>
        <w:rPr>
          <w:rFonts w:hAnsi="Times New Roman" w:cs="Times New Roman"/>
        </w:rPr>
        <w:t xml:space="preserve">Zakon o izborima zastupnika u Hrvatski sabor, 
</w:t>
      </w:r>
    </w:p>
    <w:p>
      <w:pPr>
        <w:jc w:val="both"/>
        <w:pStyle w:val="Normal5"/>
      </w:pPr>
      <w:r>
        <w:rPr>
          <w:rFonts w:hAnsi="Times New Roman" w:cs="Times New Roman"/>
        </w:rPr>
        <w:t xml:space="preserve">Zakon o izbornim jedinicama, 
</w:t>
      </w:r>
    </w:p>
    <w:p>
      <w:pPr>
        <w:jc w:val="both"/>
        <w:pStyle w:val="Normal5"/>
      </w:pPr>
      <w:r>
        <w:rPr>
          <w:rFonts w:hAnsi="Times New Roman" w:cs="Times New Roman"/>
        </w:rPr>
        <w:t xml:space="preserve">Zakon o financiranju političkih aktivnosti i izborne promidžbe, 
</w:t>
      </w:r>
    </w:p>
    <w:p>
      <w:pPr>
        <w:jc w:val="both"/>
        <w:pStyle w:val="Normal5"/>
      </w:pPr>
      <w:r>
        <w:rPr>
          <w:rFonts w:hAnsi="Times New Roman" w:cs="Times New Roman"/>
        </w:rPr>
        <w:t xml:space="preserve">Zakon o suradnji Hrvatskoga sabora i Vlade Republike Hrvatske u europskim poslovima, 
</w:t>
      </w:r>
    </w:p>
    <w:p>
      <w:pPr>
        <w:jc w:val="both"/>
        <w:pStyle w:val="Normal5"/>
      </w:pPr>
      <w:r>
        <w:rPr>
          <w:rFonts w:hAnsi="Times New Roman" w:cs="Times New Roman"/>
        </w:rPr>
        <w:t xml:space="preserve">Zakon o pravima i dužnostima zastupnika u Hrvatskom saboru, 
</w:t>
      </w:r>
    </w:p>
    <w:p>
      <w:pPr>
        <w:jc w:val="both"/>
        <w:pStyle w:val="Normal5"/>
      </w:pPr>
      <w:r>
        <w:rPr>
          <w:rFonts w:hAnsi="Times New Roman" w:cs="Times New Roman"/>
        </w:rPr>
        <w:t xml:space="preserve">Zakon o obvezama i pravima državnih dužnosnika, 
</w:t>
      </w:r>
    </w:p>
    <w:p>
      <w:pPr>
        <w:jc w:val="both"/>
        <w:pStyle w:val="Normal5"/>
      </w:pPr>
      <w:r>
        <w:rPr>
          <w:rFonts w:hAnsi="Times New Roman" w:cs="Times New Roman"/>
        </w:rPr>
        <w:t xml:space="preserve">Odluka o smještaju zastupnika Hrvatskoga sabora u Zagrebu za vrijeme zasjedanja Sabora, radnih tijela i klubova zastupnika,
</w:t>
      </w:r>
    </w:p>
    <w:p>
      <w:pPr>
        <w:jc w:val="both"/>
        <w:pStyle w:val="Normal5"/>
      </w:pPr>
      <w:r>
        <w:rPr>
          <w:rFonts w:hAnsi="Times New Roman" w:cs="Times New Roman"/>
        </w:rPr>
        <w:t xml:space="preserve">Odluka o uvjetima korištenja službenih osobnih automobila, mobilnih telefona, sredstava za službena putovanja, poslovnih kreditnih kartica i sredstava reprezentacije 
</w:t>
      </w:r>
    </w:p>
    <w:p>
      <w:pPr>
        <w:jc w:val="both"/>
        <w:pStyle w:val="Normal5"/>
      </w:pPr>
      <w:r>
        <w:rPr>
          <w:rFonts w:hAnsi="Times New Roman" w:cs="Times New Roman"/>
        </w:rPr>
        <w:t xml:space="preserve">Odluka o Stručnoj službi Hrvatskoga sabora, 
</w:t>
      </w:r>
    </w:p>
    <w:p>
      <w:pPr>
        <w:jc w:val="both"/>
        <w:pStyle w:val="Normal5"/>
      </w:pPr>
      <w:r>
        <w:rPr>
          <w:rFonts w:hAnsi="Times New Roman" w:cs="Times New Roman"/>
        </w:rPr>
        <w:t xml:space="preserve">Zakon o državnim službenicima i namještenicima, 
</w:t>
      </w:r>
    </w:p>
    <w:p>
      <w:pPr>
        <w:jc w:val="both"/>
        <w:pStyle w:val="Normal5"/>
      </w:pPr>
      <w:r>
        <w:rPr>
          <w:rFonts w:hAnsi="Times New Roman" w:cs="Times New Roman"/>
        </w:rPr>
        <w:t xml:space="preserve">Kolektivni ugovor za državne službenike i namještenike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A501000-ADMINISTRACIJA I UPRAVLJANJE</w:t>
            </w:r>
          </w:p>
        </w:tc>
        <w:tc>
          <w:tcPr>
            <w:tcW w:w="1632.96" w:type="dxa"/>
            <w:vAlign w:val="center"/>
          </w:tcPr>
          <w:p>
            <w:pPr>
              <w:jc w:val="both"/>
              <w:pStyle w:val="CellColumn"/>
            </w:pPr>
            <w:r>
              <w:rPr>
                <w:rFonts w:hAnsi="Times New Roman" w:cs="Times New Roman"/>
              </w:rPr>
              <w:t xml:space="preserve">25.033.318</w:t>
            </w:r>
          </w:p>
        </w:tc>
        <w:tc>
          <w:tcPr>
            <w:tcW w:w="1632.96" w:type="dxa"/>
            <w:vAlign w:val="center"/>
          </w:tcPr>
          <w:p>
            <w:pPr>
              <w:jc w:val="both"/>
              <w:pStyle w:val="CellColumn"/>
            </w:pPr>
            <w:r>
              <w:rPr>
                <w:rFonts w:hAnsi="Times New Roman" w:cs="Times New Roman"/>
              </w:rPr>
              <w:t xml:space="preserve">39.886.217</w:t>
            </w:r>
          </w:p>
        </w:tc>
        <w:tc>
          <w:tcPr>
            <w:tcW w:w="1632.96" w:type="dxa"/>
            <w:vAlign w:val="center"/>
          </w:tcPr>
          <w:p>
            <w:pPr>
              <w:jc w:val="both"/>
              <w:pStyle w:val="CellColumn"/>
            </w:pPr>
            <w:r>
              <w:rPr>
                <w:rFonts w:hAnsi="Times New Roman" w:cs="Times New Roman"/>
              </w:rPr>
              <w:t xml:space="preserve">32.064.759</w:t>
            </w:r>
          </w:p>
        </w:tc>
        <w:tc>
          <w:tcPr>
            <w:tcW w:w="1632.96" w:type="dxa"/>
            <w:vAlign w:val="center"/>
          </w:tcPr>
          <w:p>
            <w:pPr>
              <w:jc w:val="both"/>
              <w:pStyle w:val="CellColumn"/>
            </w:pPr>
            <w:r>
              <w:rPr>
                <w:rFonts w:hAnsi="Times New Roman" w:cs="Times New Roman"/>
              </w:rPr>
              <w:t xml:space="preserve">43.411.977</w:t>
            </w:r>
          </w:p>
        </w:tc>
        <w:tc>
          <w:tcPr>
            <w:tcW w:w="1632.96" w:type="dxa"/>
            <w:vAlign w:val="center"/>
          </w:tcPr>
          <w:p>
            <w:pPr>
              <w:jc w:val="both"/>
              <w:pStyle w:val="CellColumn"/>
            </w:pPr>
            <w:r>
              <w:rPr>
                <w:rFonts w:hAnsi="Times New Roman" w:cs="Times New Roman"/>
              </w:rPr>
              <w:t xml:space="preserve">34.537.051</w:t>
            </w:r>
          </w:p>
        </w:tc>
        <w:tc>
          <w:tcPr>
            <w:tcW w:w="510.3" w:type="dxa"/>
            <w:vAlign w:val="center"/>
          </w:tcPr>
          <w:p>
            <w:pPr>
              <w:jc w:val="both"/>
              <w:pStyle w:val="CellColumn"/>
            </w:pPr>
            <w:r>
              <w:rPr>
                <w:rFonts w:hAnsi="Times New Roman" w:cs="Times New Roman"/>
              </w:rPr>
              <w:t xml:space="preserve">80,4</w:t>
            </w:r>
          </w:p>
        </w:tc>
      </w:tr>
    </w:tbl>
    <w:p>
      <w:pPr>
        <w:jc w:val="left"/>
      </w:pPr>
      <w:r>
        <w:rPr>
          <w:rFonts w:hAnsi="Times New Roman" w:cs="Times New Roman"/>
        </w:rPr>
        <w:t xml:space="preserve"/>
      </w:r>
    </w:p>
    <w:p>
      <w:pPr>
        <w:jc w:val="both"/>
        <w:pStyle w:val="Normal"/>
      </w:pPr>
      <w:r>
        <w:rPr>
          <w:rFonts w:hAnsi="Times New Roman" w:cs="Times New Roman"/>
        </w:rPr>
        <w:t xml:space="preserve">U okviru izvora financiranja 11 Opći prihodi i primici za 2026. godinu planirana su sredstva u iznosu 32.064.759,00 eura, za 2027. godinu sredstva u iznosu 43.411.977,00 eura, a za 2028. godinu sredstva u iznosu 34.537.051,00 eura.
</w:t>
      </w:r>
    </w:p>
    <w:p>
      <w:pPr>
        <w:jc w:val="both"/>
        <w:pStyle w:val="Normal"/>
      </w:pPr>
      <w:r>
        <w:rPr>
          <w:rFonts w:hAnsi="Times New Roman" w:cs="Times New Roman"/>
        </w:rPr>
        <w:t xml:space="preserve">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31 Rashodi za zaposlene 
</w:t>
      </w:r>
    </w:p>
    <w:p>
      <w:pPr>
        <w:jc w:val="both"/>
        <w:pStyle w:val="Normal"/>
      </w:pPr>
      <w:r>
        <w:rPr>
          <w:rFonts w:hAnsi="Times New Roman" w:cs="Times New Roman"/>
        </w:rPr>
        <w:t xml:space="preserve">Planirana su sredstva u iznosu 23.504.995,00 eura za 2026. godinu, 23.635.406,00 eura za 2027. godinu te 25.944.832,00 eura za 2028. godinu. 
</w:t>
      </w:r>
    </w:p>
    <w:p>
      <w:pPr>
        <w:jc w:val="both"/>
        <w:pStyle w:val="Normal"/>
      </w:pPr>
      <w:r>
        <w:rPr>
          <w:rFonts w:hAnsi="Times New Roman" w:cs="Times New Roman"/>
        </w:rPr>
        <w:t xml:space="preserve">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7.276.963,00 eura za 2026. godinu, 7.648.975,00 eura za 2027. godinu te 6.865.918,00 eura za 2028. godinu. 
</w:t>
      </w:r>
    </w:p>
    <w:p>
      <w:pPr>
        <w:jc w:val="both"/>
        <w:pStyle w:val="Normal"/>
      </w:pPr>
      <w:r>
        <w:rPr>
          <w:rFonts w:hAnsi="Times New Roman" w:cs="Times New Roman"/>
        </w:rPr>
        <w:t xml:space="preserve">Kroz ovu skupinu rashoda podmiruju se sljedeći troškovi: službena putovanja, prijevoz na posao i s posla, stručni seminari, nabava uredskog materijala, nabava službene, radne i zaštitne odjeće i obuće te sitnog inventara, režijski, telekomunikacijski i komunalni troškovi, nabava materijala te usluga za održavanje zgrade i opreme, nabava tiskovina, najam opreme i najamnine za službene stanove, sistematski pregledi, provođenje zaštite na radu, održavanje aplikativnih rješenja, usluge čišćenja, naknade povjerenstvima, osiguranje umjetnina, reprezentacija, članarine. Osim za podmirenje prethodno navedenih potreba, Hrvatski sabor je planirao i sredstva za skup Inicijative tri mora koji će se održati 2026. godine.
</w:t>
      </w:r>
    </w:p>
    <w:p>
      <w:pPr>
        <w:jc w:val="both"/>
        <w:pStyle w:val="Normal"/>
      </w:pPr>
      <w:r>
        <w:rPr>
          <w:rFonts w:hAnsi="Times New Roman" w:cs="Times New Roman"/>
        </w:rPr>
        <w:t xml:space="preserve">
</w:t>
      </w:r>
    </w:p>
    <w:p>
      <w:pPr>
        <w:jc w:val="both"/>
        <w:pStyle w:val="Normal"/>
      </w:pPr>
      <w:r>
        <w:rPr>
          <w:rFonts w:hAnsi="Times New Roman" w:cs="Times New Roman"/>
        </w:rPr>
        <w:t xml:space="preserve">34 Financijski rashodi 
</w:t>
      </w:r>
    </w:p>
    <w:p>
      <w:pPr>
        <w:jc w:val="both"/>
        <w:pStyle w:val="Normal"/>
      </w:pPr>
      <w:r>
        <w:rPr>
          <w:rFonts w:hAnsi="Times New Roman" w:cs="Times New Roman"/>
        </w:rPr>
        <w:t xml:space="preserve">Planirana su sredstva u iznosu 2.801,00 eura za 2026. godinu, 1.301,00 eura za 2027. godinu te 1.301,00 eura za 2028. godinu. 
</w:t>
      </w:r>
    </w:p>
    <w:p>
      <w:pPr>
        <w:jc w:val="both"/>
        <w:pStyle w:val="Normal"/>
      </w:pPr>
      <w:r>
        <w:rPr>
          <w:rFonts w:hAnsi="Times New Roman" w:cs="Times New Roman"/>
        </w:rPr>
        <w:t xml:space="preserve">
</w:t>
      </w:r>
    </w:p>
    <w:p>
      <w:pPr>
        <w:jc w:val="both"/>
        <w:pStyle w:val="Normal"/>
      </w:pPr>
      <w:r>
        <w:rPr>
          <w:rFonts w:hAnsi="Times New Roman" w:cs="Times New Roman"/>
        </w:rPr>
        <w:t xml:space="preserve">37 Naknade građanima i kućanstvima na temelju osiguranja i druge naknade 
</w:t>
      </w:r>
    </w:p>
    <w:p>
      <w:pPr>
        <w:jc w:val="both"/>
        <w:pStyle w:val="Normal"/>
      </w:pPr>
      <w:r>
        <w:rPr>
          <w:rFonts w:hAnsi="Times New Roman" w:cs="Times New Roman"/>
        </w:rPr>
        <w:t xml:space="preserve">Planirana su sredstva u iznosu 10.000,00 eura za svaku godinu planiranja. Sredstva su planirana za dodatna školovanja djelatnika Hrvatskoga sabora. 
</w:t>
      </w:r>
    </w:p>
    <w:p>
      <w:pPr>
        <w:jc w:val="both"/>
        <w:pStyle w:val="Normal"/>
      </w:pPr>
      <w:r>
        <w:rPr>
          <w:rFonts w:hAnsi="Times New Roman" w:cs="Times New Roman"/>
        </w:rPr>
        <w:t xml:space="preserve">
</w:t>
      </w:r>
    </w:p>
    <w:p>
      <w:pPr>
        <w:jc w:val="both"/>
        <w:pStyle w:val="Normal"/>
      </w:pPr>
      <w:r>
        <w:rPr>
          <w:rFonts w:hAnsi="Times New Roman" w:cs="Times New Roman"/>
        </w:rPr>
        <w:t xml:space="preserve">38 Rashodi za donacije, kazne, naknade šteta i kapitalne pomoći 
</w:t>
      </w:r>
    </w:p>
    <w:p>
      <w:pPr>
        <w:jc w:val="both"/>
        <w:pStyle w:val="Normal"/>
      </w:pPr>
      <w:r>
        <w:rPr>
          <w:rFonts w:hAnsi="Times New Roman" w:cs="Times New Roman"/>
        </w:rPr>
        <w:t xml:space="preserve">Planirana su sredstva u iznosu 26.000,00 eura za 2026. godinu, 16.000,00 eura za 2027. godinu te 16.000,00 eura za 2028. godinu. Sredstva su namijenjena pokriću mogućih troškova koji proizlaze iz žalbenih postupaka u okviru javne nabave te sudskih sporova.
</w:t>
      </w:r>
    </w:p>
    <w:p>
      <w:pPr>
        <w:jc w:val="both"/>
        <w:pStyle w:val="Normal"/>
      </w:pPr>
      <w:r>
        <w:rPr>
          <w:rFonts w:hAnsi="Times New Roman" w:cs="Times New Roman"/>
        </w:rPr>
        <w:t xml:space="preserve">
</w:t>
      </w:r>
    </w:p>
    <w:p>
      <w:pPr>
        <w:jc w:val="both"/>
        <w:pStyle w:val="Normal"/>
      </w:pPr>
      <w:r>
        <w:rPr>
          <w:rFonts w:hAnsi="Times New Roman" w:cs="Times New Roman"/>
        </w:rPr>
        <w:t xml:space="preserve">41 Rashodi za nabavu neproizvedene dugotrajne imovine
</w:t>
      </w:r>
    </w:p>
    <w:p>
      <w:pPr>
        <w:jc w:val="both"/>
        <w:pStyle w:val="Normal"/>
      </w:pPr>
      <w:r>
        <w:rPr>
          <w:rFonts w:hAnsi="Times New Roman" w:cs="Times New Roman"/>
        </w:rPr>
        <w:t xml:space="preserve">Planirana su sredstva za 2028. godinu u iznosu 1.000.000,00 eura za radove vraćanja u prvobitno stanje uredskih prostora na privremenoj lokaciji Hrvatskoga sabora, a po završetku obnove zgrade Hrvatskoga sabora.
</w:t>
      </w:r>
    </w:p>
    <w:p>
      <w:pPr>
        <w:jc w:val="both"/>
        <w:pStyle w:val="Normal"/>
      </w:pPr>
      <w:r>
        <w:rPr>
          <w:rFonts w:hAnsi="Times New Roman" w:cs="Times New Roman"/>
        </w:rPr>
        <w:t xml:space="preserve">
</w:t>
      </w:r>
    </w:p>
    <w:p>
      <w:pPr>
        <w:jc w:val="both"/>
        <w:pStyle w:val="Normal"/>
      </w:pPr>
      <w:r>
        <w:rPr>
          <w:rFonts w:hAnsi="Times New Roman" w:cs="Times New Roman"/>
        </w:rPr>
        <w:t xml:space="preserve">42 Rashodi za nabavu proizvedene dugotrajne imovine 
</w:t>
      </w:r>
    </w:p>
    <w:p>
      <w:pPr>
        <w:jc w:val="both"/>
        <w:pStyle w:val="Normal"/>
      </w:pPr>
      <w:r>
        <w:rPr>
          <w:rFonts w:hAnsi="Times New Roman" w:cs="Times New Roman"/>
        </w:rPr>
        <w:t xml:space="preserve">Planirana su sredstva u iznosu 244.000,00 eura za 2026. godinu, 11.100.295,00 eura za 2027. godinu te 699.000,00 eura za 2028. godinu. Tijekom 2026-2028 planirana su sredstva za nabavu uredske, komunikacijske i ostale opreme, knjiga i umjetničkih djela. 
</w:t>
      </w:r>
    </w:p>
    <w:p>
      <w:pPr>
        <w:jc w:val="both"/>
        <w:pStyle w:val="Normal"/>
      </w:pPr>
      <w:r>
        <w:rPr>
          <w:rFonts w:hAnsi="Times New Roman" w:cs="Times New Roman"/>
        </w:rPr>
        <w:t xml:space="preserve">
</w:t>
      </w:r>
    </w:p>
    <w:p>
      <w:pPr>
        <w:jc w:val="both"/>
        <w:pStyle w:val="Normal"/>
      </w:pPr>
      <w:r>
        <w:rPr>
          <w:rFonts w:hAnsi="Times New Roman" w:cs="Times New Roman"/>
        </w:rPr>
        <w:t xml:space="preserve">45 Rashodi za dodatna ulaganja na nefinancijskoj imovini
</w:t>
      </w:r>
    </w:p>
    <w:p>
      <w:pPr>
        <w:jc w:val="both"/>
        <w:pStyle w:val="Normal"/>
      </w:pPr>
      <w:r>
        <w:rPr>
          <w:rFonts w:hAnsi="Times New Roman" w:cs="Times New Roman"/>
        </w:rPr>
        <w:t xml:space="preserve">Planirana su sredstva u iznosu 1.000.000,00 eura za 2026. i 2027. godinu za pokriće mogućih troškova obnove zgrade Hrvatskoga sabora koji, prema pravilima NPOO-a, ne budu priznati za financiranje.</w:t>
      </w:r>
    </w:p>
    <w:p>
      <w:pPr>
        <w:jc w:val="left"/>
        <w:pStyle w:val="Heading4"/>
      </w:pPr>
      <w:r>
        <w:rPr>
          <w:rFonts w:hAnsi="Times New Roman" w:cs="Times New Roman"/>
        </w:rPr>
        <w:t xml:space="preserve">A501004 ODRŽAVANJE ZGRADE (NARODNO SVEUČILIŠTE OTOČAC)</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Rješenje o prijenosu prava korištenja na Spomen domu ZAVNOH-a u Otočcu 
</w:t>
      </w:r>
    </w:p>
    <w:p>
      <w:pPr>
        <w:jc w:val="both"/>
        <w:pStyle w:val="Normal5"/>
      </w:pPr>
      <w:r>
        <w:rPr>
          <w:rFonts w:hAnsi="Times New Roman" w:cs="Times New Roman"/>
        </w:rPr>
        <w:t xml:space="preserve">Ugovor o prijenosu prava korištenja nekretnine</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A501004-ODRŽAVANJE ZGRADE (NARODNO SVEUČILIŠTE OTOČAC)</w:t>
            </w:r>
          </w:p>
        </w:tc>
        <w:tc>
          <w:tcPr>
            <w:tcW w:w="1632.96" w:type="dxa"/>
            <w:vAlign w:val="center"/>
          </w:tcPr>
          <w:p>
            <w:pPr>
              <w:jc w:val="both"/>
              <w:pStyle w:val="CellColumn"/>
            </w:pPr>
            <w:r>
              <w:rPr>
                <w:rFonts w:hAnsi="Times New Roman" w:cs="Times New Roman"/>
              </w:rPr>
              <w:t xml:space="preserve">47.780</w:t>
            </w:r>
          </w:p>
        </w:tc>
        <w:tc>
          <w:tcPr>
            <w:tcW w:w="1632.96" w:type="dxa"/>
            <w:vAlign w:val="center"/>
          </w:tcPr>
          <w:p>
            <w:pPr>
              <w:jc w:val="both"/>
              <w:pStyle w:val="CellColumn"/>
            </w:pPr>
            <w:r>
              <w:rPr>
                <w:rFonts w:hAnsi="Times New Roman" w:cs="Times New Roman"/>
              </w:rPr>
              <w:t xml:space="preserve">47.781</w:t>
            </w:r>
          </w:p>
        </w:tc>
        <w:tc>
          <w:tcPr>
            <w:tcW w:w="1632.96" w:type="dxa"/>
            <w:vAlign w:val="center"/>
          </w:tcPr>
          <w:p>
            <w:pPr>
              <w:jc w:val="both"/>
              <w:pStyle w:val="CellColumn"/>
            </w:pPr>
            <w:r>
              <w:rPr>
                <w:rFonts w:hAnsi="Times New Roman" w:cs="Times New Roman"/>
              </w:rPr>
              <w:t xml:space="preserve">47.781</w:t>
            </w:r>
          </w:p>
        </w:tc>
        <w:tc>
          <w:tcPr>
            <w:tcW w:w="1632.96" w:type="dxa"/>
            <w:vAlign w:val="center"/>
          </w:tcPr>
          <w:p>
            <w:pPr>
              <w:jc w:val="both"/>
              <w:pStyle w:val="CellColumn"/>
            </w:pPr>
            <w:r>
              <w:rPr>
                <w:rFonts w:hAnsi="Times New Roman" w:cs="Times New Roman"/>
              </w:rPr>
              <w:t xml:space="preserve">47.781</w:t>
            </w:r>
          </w:p>
        </w:tc>
        <w:tc>
          <w:tcPr>
            <w:tcW w:w="1632.96" w:type="dxa"/>
            <w:vAlign w:val="center"/>
          </w:tcPr>
          <w:p>
            <w:pPr>
              <w:jc w:val="both"/>
              <w:pStyle w:val="CellColumn"/>
            </w:pPr>
            <w:r>
              <w:rPr>
                <w:rFonts w:hAnsi="Times New Roman" w:cs="Times New Roman"/>
              </w:rPr>
              <w:t xml:space="preserve">47.781</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aktivnosti A501004 Održavanje zgrade (Narodno sveučilište Otočac) planirana su sredstva na skupini rashoda 36 Pomoći dane u inozemstvo i unutar općeg proračuna u iznosu 47.781,00 eura za svaku godinu planiranja. 
</w:t>
      </w:r>
    </w:p>
    <w:p>
      <w:pPr>
        <w:jc w:val="both"/>
        <w:pStyle w:val="Normal"/>
      </w:pPr>
      <w:r>
        <w:rPr>
          <w:rFonts w:hAnsi="Times New Roman" w:cs="Times New Roman"/>
        </w:rPr>
        <w:t xml:space="preserve">
</w:t>
      </w:r>
    </w:p>
    <w:p>
      <w:pPr>
        <w:jc w:val="both"/>
        <w:pStyle w:val="Normal"/>
      </w:pPr>
      <w:r>
        <w:rPr>
          <w:rFonts w:hAnsi="Times New Roman" w:cs="Times New Roman"/>
        </w:rPr>
        <w:t xml:space="preserve">Kroz ovu aktivnost Hrvatski sabor planira proračunska sredstva za tekuće i investicijsko održavanje Spomen doma ZAVNOH-a (Narodno sveučilište Otočac) prema godišnjem financijskom planu Gackog pučkog otvorenog učilišta Otočac, a temeljem Ugovora o prijenosu prava korištenja nekretnine (Klasa: 940-01/11-02/02 Urbroj: 6541-11-02) sklopljenom između Hrvatskog sabora i Grada Otočca. 
</w:t>
      </w:r>
    </w:p>
    <w:p>
      <w:pPr>
        <w:jc w:val="both"/>
        <w:pStyle w:val="Normal"/>
      </w:pPr>
      <w:r>
        <w:rPr>
          <w:rFonts w:hAnsi="Times New Roman" w:cs="Times New Roman"/>
        </w:rPr>
        <w:t xml:space="preserve">
</w:t>
      </w:r>
    </w:p>
    <w:p>
      <w:pPr>
        <w:jc w:val="both"/>
        <w:pStyle w:val="Normal"/>
      </w:pPr>
      <w:r>
        <w:rPr>
          <w:rFonts w:hAnsi="Times New Roman" w:cs="Times New Roman"/>
        </w:rPr>
        <w:t xml:space="preserve">Aktivnost se provodi svake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Isplaćena sredstva</w:t>
            </w:r>
          </w:p>
        </w:tc>
        <w:tc>
          <w:tcPr>
            <w:tcW w:w="2245.32" w:type="dxa"/>
            <w:vAlign w:val="center"/>
          </w:tcPr>
          <w:p>
            <w:pPr>
              <w:jc w:val="both"/>
              <w:pStyle w:val="CellColumn"/>
            </w:pPr>
            <w:r>
              <w:rPr>
                <w:rFonts w:hAnsi="Times New Roman" w:cs="Times New Roman"/>
              </w:rPr>
              <w:t xml:space="preserve">Potpora Gackom pučkom otvorenom učilištu za održavanje Spomen doma ZAVNOH-a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Financijsko izvješće Gackog pučkog otvorenog učilišta Otočac</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A501026 OBILJEŽAVANJE SPOMENDANA BLEIBURŠKE TRAGEDIJE I KRIŽNOG PUTA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blagdanima spomendanima i neradnim danima u Republici Hrvatskoj 
</w:t>
      </w:r>
    </w:p>
    <w:p>
      <w:pPr>
        <w:jc w:val="both"/>
        <w:pStyle w:val="Normal5"/>
      </w:pPr>
      <w:r>
        <w:rPr>
          <w:rFonts w:hAnsi="Times New Roman" w:cs="Times New Roman"/>
        </w:rPr>
        <w:t xml:space="preserve">Poslovnik Hrvatskoga sabora 
</w:t>
      </w:r>
    </w:p>
    <w:p>
      <w:pPr>
        <w:jc w:val="both"/>
        <w:pStyle w:val="Normal5"/>
      </w:pPr>
      <w:r>
        <w:rPr>
          <w:rFonts w:hAnsi="Times New Roman" w:cs="Times New Roman"/>
        </w:rPr>
        <w:t xml:space="preserve">Zaključak Predsjedništva Hrvatskoga sabora o pokroviteljstvu nad središnjom komemoracijom žrtvama bleiburške tragedije i žrtvama hrvatskog križnog puta od 4. veljače 2016.</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A501026-OBILJEŽAVANJE SPOMENDANA BLEIBURŠKE TRAGEDIJE I KRIŽNOG PUTA</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1632.96" w:type="dxa"/>
            <w:vAlign w:val="center"/>
          </w:tcPr>
          <w:p>
            <w:pPr>
              <w:jc w:val="both"/>
              <w:pStyle w:val="CellColumn"/>
            </w:pPr>
            <w:r>
              <w:rPr>
                <w:rFonts w:hAnsi="Times New Roman" w:cs="Times New Roman"/>
              </w:rPr>
              <w:t xml:space="preserve">66.000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na skupini rashoda 38 Rashodi za donacije, penale, naknade šteta i kapitalne pomoći u iznosu 66.000,00 eura za svaku godinu planiranja za pokroviteljstvo nad središnjom komemoracijom žrtvama bleiburške tragedije i žrtvama hrvatskog križnog puta. 
</w:t>
      </w:r>
    </w:p>
    <w:p>
      <w:pPr>
        <w:jc w:val="both"/>
        <w:pStyle w:val="Normal"/>
      </w:pPr>
      <w:r>
        <w:rPr>
          <w:rFonts w:hAnsi="Times New Roman" w:cs="Times New Roman"/>
        </w:rPr>
        <w:t xml:space="preserve">
</w:t>
      </w:r>
    </w:p>
    <w:p>
      <w:pPr>
        <w:jc w:val="both"/>
        <w:pStyle w:val="Normal"/>
      </w:pPr>
      <w:r>
        <w:rPr>
          <w:rFonts w:hAnsi="Times New Roman" w:cs="Times New Roman"/>
        </w:rPr>
        <w:t xml:space="preserve">Aktivnost se provodi svake godine.</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Isplaćena sredstva u svrhu pokroviteljstva Sabora nad središnjom komemoracijom žrtvama bleiburške tragedije i hrvatskog križnog puta</w:t>
            </w:r>
          </w:p>
        </w:tc>
        <w:tc>
          <w:tcPr>
            <w:tcW w:w="2245.32" w:type="dxa"/>
            <w:vAlign w:val="center"/>
          </w:tcPr>
          <w:p>
            <w:pPr>
              <w:jc w:val="both"/>
              <w:pStyle w:val="CellColumn"/>
            </w:pPr>
            <w:r>
              <w:rPr>
                <w:rFonts w:hAnsi="Times New Roman" w:cs="Times New Roman"/>
              </w:rPr>
              <w:t xml:space="preserve">Pokroviteljstvo Hrvatskog sabora nad središnjom komemoracijom žrtvama bleiburške tragedije i hrvatskog križnog puta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Program središnje komemor acije žrtvama bleiburške tragedije i hrvatskog križnog puta</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A501032 SPOMEN PODRUČJE JASENOVAC I OBILJEŽAVANJE ANTIFAŠISTIČKE BORBE U RH</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Spomen-području Jasenovac 
</w:t>
      </w:r>
    </w:p>
    <w:p>
      <w:pPr>
        <w:jc w:val="both"/>
        <w:pStyle w:val="Normal5"/>
      </w:pPr>
      <w:r>
        <w:rPr>
          <w:rFonts w:hAnsi="Times New Roman" w:cs="Times New Roman"/>
        </w:rPr>
        <w:t xml:space="preserve">Poslovnik Hrvatskoga sabora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A501032-SPOMEN PODRUČJE JASENOVAC I OBILJEŽAVANJE ANTIFAŠISTIČKE BORBE U RH</w:t>
            </w:r>
          </w:p>
        </w:tc>
        <w:tc>
          <w:tcPr>
            <w:tcW w:w="1632.96" w:type="dxa"/>
            <w:vAlign w:val="center"/>
          </w:tcPr>
          <w:p>
            <w:pPr>
              <w:jc w:val="both"/>
              <w:pStyle w:val="CellColumn"/>
            </w:pPr>
            <w:r>
              <w:rPr>
                <w:rFonts w:hAnsi="Times New Roman" w:cs="Times New Roman"/>
              </w:rPr>
              <w:t xml:space="preserve">66.361</w:t>
            </w:r>
          </w:p>
        </w:tc>
        <w:tc>
          <w:tcPr>
            <w:tcW w:w="1632.96" w:type="dxa"/>
            <w:vAlign w:val="center"/>
          </w:tcPr>
          <w:p>
            <w:pPr>
              <w:jc w:val="both"/>
              <w:pStyle w:val="CellColumn"/>
            </w:pPr>
            <w:r>
              <w:rPr>
                <w:rFonts w:hAnsi="Times New Roman" w:cs="Times New Roman"/>
              </w:rPr>
              <w:t xml:space="preserve">66.362</w:t>
            </w:r>
          </w:p>
        </w:tc>
        <w:tc>
          <w:tcPr>
            <w:tcW w:w="1632.96" w:type="dxa"/>
            <w:vAlign w:val="center"/>
          </w:tcPr>
          <w:p>
            <w:pPr>
              <w:jc w:val="both"/>
              <w:pStyle w:val="CellColumn"/>
            </w:pPr>
            <w:r>
              <w:rPr>
                <w:rFonts w:hAnsi="Times New Roman" w:cs="Times New Roman"/>
              </w:rPr>
              <w:t xml:space="preserve">66.362</w:t>
            </w:r>
          </w:p>
        </w:tc>
        <w:tc>
          <w:tcPr>
            <w:tcW w:w="1632.96" w:type="dxa"/>
            <w:vAlign w:val="center"/>
          </w:tcPr>
          <w:p>
            <w:pPr>
              <w:jc w:val="both"/>
              <w:pStyle w:val="CellColumn"/>
            </w:pPr>
            <w:r>
              <w:rPr>
                <w:rFonts w:hAnsi="Times New Roman" w:cs="Times New Roman"/>
              </w:rPr>
              <w:t xml:space="preserve">66.362</w:t>
            </w:r>
          </w:p>
        </w:tc>
        <w:tc>
          <w:tcPr>
            <w:tcW w:w="1632.96" w:type="dxa"/>
            <w:vAlign w:val="center"/>
          </w:tcPr>
          <w:p>
            <w:pPr>
              <w:jc w:val="both"/>
              <w:pStyle w:val="CellColumn"/>
            </w:pPr>
            <w:r>
              <w:rPr>
                <w:rFonts w:hAnsi="Times New Roman" w:cs="Times New Roman"/>
              </w:rPr>
              <w:t xml:space="preserve">66.362</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u iznosu 66.362,00 eura za svaku godinu planiranja. Aktivnost se provodi svake godine u jednakim iznosima: 60% namijenjeno je za financijsku pomoć Savezu antifašističkih boraca i antifašista Republike Hrvatske za obilježavanje antifašističke borbe u RH (skupina rashoda 38 Rashodi za donacije, kazne, naknade šteta i kapitalne pomoći), a 40% za osiguranje financijske pomoći Javnoj ustanovi spomen područja Jasenovac (skupina rashoda 36 Pomoći dane u inozemstvo i unutar općeg proračuna).</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Isplaćena sredstva u svrhu financijske pomoći SABA RH za obilježavanje događaja iz antifašističke borbe u RH</w:t>
            </w:r>
          </w:p>
        </w:tc>
        <w:tc>
          <w:tcPr>
            <w:tcW w:w="2245.32" w:type="dxa"/>
            <w:vAlign w:val="center"/>
          </w:tcPr>
          <w:p>
            <w:pPr>
              <w:jc w:val="both"/>
              <w:pStyle w:val="CellColumn"/>
            </w:pPr>
            <w:r>
              <w:rPr>
                <w:rFonts w:hAnsi="Times New Roman" w:cs="Times New Roman"/>
              </w:rPr>
              <w:t xml:space="preserve">Donacija Hrvatskoga sabora za obilježavanje značajnih događaja iz hrvatske povijesti</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Program obilježavanja antifašističke borbe u RH Saveza antifašističkih boraca i antifašista RH</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r>
        <w:trPr>
          <w:cantSplit/>
        </w:trPr>
        <w:tc>
          <w:tcPr>
            <w:tcW w:w="2245.32" w:type="dxa"/>
            <w:vAlign w:val="center"/>
          </w:tcPr>
          <w:p>
            <w:pPr>
              <w:jc w:val="both"/>
              <w:pStyle w:val="CellColumn"/>
            </w:pPr>
            <w:r>
              <w:rPr>
                <w:rFonts w:hAnsi="Times New Roman" w:cs="Times New Roman"/>
              </w:rPr>
              <w:t xml:space="preserve">Isplaćena sredstva u svrhu financijske pomoći Javnoj ustanovi Spomen područja Jasenovac za komemoraciju za žrtve logora Jasenovac</w:t>
            </w:r>
          </w:p>
        </w:tc>
        <w:tc>
          <w:tcPr>
            <w:tcW w:w="2245.32" w:type="dxa"/>
            <w:vAlign w:val="center"/>
          </w:tcPr>
          <w:p>
            <w:pPr>
              <w:jc w:val="both"/>
              <w:pStyle w:val="CellColumn"/>
            </w:pPr>
            <w:r>
              <w:rPr>
                <w:rFonts w:hAnsi="Times New Roman" w:cs="Times New Roman"/>
              </w:rPr>
              <w:t xml:space="preserve">Donacija Hrvatskoga sabora za komemoraciju žrtava logora Jasenovac</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Program komemoracije žrtvama logora Jasenovac</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A501037 OBILJEŽAVANJE SJEĆANJA NA ŽRTVE SVIH TOTALITARNIH I AUTORITARNIH REŽIMA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Zakon o blagdanima spomendanima i neradnim danima u Republici Hrvatskoj</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A501037-OBILJEŽAVANJE SJEĆANJA NA ŽRTVE SVIH TOTALITARNIH I AUTORITARNIH REŽIMA</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00</w:t>
            </w:r>
          </w:p>
        </w:tc>
        <w:tc>
          <w:tcPr>
            <w:tcW w:w="1632.96" w:type="dxa"/>
            <w:vAlign w:val="center"/>
          </w:tcPr>
          <w:p>
            <w:pPr>
              <w:jc w:val="both"/>
              <w:pStyle w:val="CellColumn"/>
            </w:pPr>
            <w:r>
              <w:rPr>
                <w:rFonts w:hAnsi="Times New Roman" w:cs="Times New Roman"/>
              </w:rPr>
              <w:t xml:space="preserve">13.273</w:t>
            </w:r>
          </w:p>
        </w:tc>
        <w:tc>
          <w:tcPr>
            <w:tcW w:w="1632.96" w:type="dxa"/>
            <w:vAlign w:val="center"/>
          </w:tcPr>
          <w:p>
            <w:pPr>
              <w:jc w:val="both"/>
              <w:pStyle w:val="CellColumn"/>
            </w:pPr>
            <w:r>
              <w:rPr>
                <w:rFonts w:hAnsi="Times New Roman" w:cs="Times New Roman"/>
              </w:rPr>
              <w:t xml:space="preserve">13.273</w:t>
            </w:r>
          </w:p>
        </w:tc>
        <w:tc>
          <w:tcPr>
            <w:tcW w:w="1632.96" w:type="dxa"/>
            <w:vAlign w:val="center"/>
          </w:tcPr>
          <w:p>
            <w:pPr>
              <w:jc w:val="both"/>
              <w:pStyle w:val="CellColumn"/>
            </w:pPr>
            <w:r>
              <w:rPr>
                <w:rFonts w:hAnsi="Times New Roman" w:cs="Times New Roman"/>
              </w:rPr>
              <w:t xml:space="preserve">13.273</w:t>
            </w:r>
          </w:p>
        </w:tc>
        <w:tc>
          <w:tcPr>
            <w:tcW w:w="510.3" w:type="dxa"/>
            <w:vAlign w:val="center"/>
          </w:tcPr>
          <w:p>
            <w:pPr>
              <w:jc w:val="both"/>
              <w:pStyle w:val="CellColumn"/>
            </w:pPr>
            <w:r>
              <w:rPr>
                <w:rFonts w:hAnsi="Times New Roman" w:cs="Times New Roman"/>
              </w:rPr>
              <w:t xml:space="preserve">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na skupini rashoda 38 Rashodi za donacije, kazne, naknade šteta i kapitalne pomoći u iznosu 13.273,00 eura za svaku godinu planiranja za obilježavanje Europskog dana sjećanja na žrtve svih totalitarnih i autoritarnih režima, koji je temeljem Zakona o blagdanima spomendanima i neradnim danima u Republici Hrvatskoj određen kao spomendan.</w:t>
      </w:r>
    </w:p>
    <w:p>
      <w:pPr>
        <w:jc w:val="left"/>
        <w:pStyle w:val="Heading8"/>
      </w:pPr>
      <w:r>
        <w:rPr>
          <w:rFonts w:hAnsi="Times New Roman" w:cs="Times New Roman"/>
        </w:rPr>
        <w:t xml:space="preserve">Pokazatelji rezultata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gridCol>3096</w:gridCol>
      </w:tblGrid>
      <w:tr>
        <w:trPr>
          <w:cantSplit/>
        </w:trPr>
        <w:tc>
          <w:tcPr>
            <w:tcW w:w="2245.32" w:type="dxa"/>
            <w:vAlign w:val="center"/>
            <w:shd w:val="clear" w:color="auto" w:fill="b5c0d8"/>
          </w:tcPr>
          <w:p>
            <w:pPr>
              <w:jc w:val="both"/>
            </w:pPr>
            <w:r>
              <w:rPr>
                <w:rFonts w:hAnsi="Times New Roman" w:cs="Times New Roman"/>
              </w:rPr>
              <w:t xml:space="preserve">Pokazatelj rezultata</w:t>
            </w:r>
          </w:p>
        </w:tc>
        <w:tc>
          <w:tcPr>
            <w:tcW w:w="2245.32" w:type="dxa"/>
            <w:vAlign w:val="center"/>
            <w:shd w:val="clear" w:color="auto" w:fill="b5c0d8"/>
          </w:tcPr>
          <w:p>
            <w:pPr>
              <w:jc w:val="both"/>
              <w:pStyle w:val="CellHeader"/>
            </w:pPr>
            <w:r>
              <w:rPr>
                <w:rFonts w:hAnsi="Times New Roman" w:cs="Times New Roman"/>
              </w:rPr>
              <w:t xml:space="preserve">Definicija</w:t>
            </w:r>
          </w:p>
        </w:tc>
        <w:tc>
          <w:tcPr>
            <w:tcW w:w="2245.32" w:type="dxa"/>
            <w:vAlign w:val="center"/>
            <w:shd w:val="clear" w:color="auto" w:fill="b5c0d8"/>
          </w:tcPr>
          <w:p>
            <w:pPr>
              <w:jc w:val="both"/>
              <w:pStyle w:val="CellHeader"/>
            </w:pPr>
            <w:r>
              <w:rPr>
                <w:rFonts w:hAnsi="Times New Roman" w:cs="Times New Roman"/>
              </w:rPr>
              <w:t xml:space="preserve">Jedinica</w:t>
            </w:r>
          </w:p>
        </w:tc>
        <w:tc>
          <w:tcPr>
            <w:tcW w:w="918.54" w:type="dxa"/>
            <w:vAlign w:val="center"/>
            <w:shd w:val="clear" w:color="auto" w:fill="b5c0d8"/>
          </w:tcPr>
          <w:p>
            <w:pPr>
              <w:jc w:val="both"/>
              <w:pStyle w:val="CellHeader"/>
            </w:pPr>
            <w:r>
              <w:rPr>
                <w:rFonts w:hAnsi="Times New Roman" w:cs="Times New Roman"/>
              </w:rPr>
              <w:t xml:space="preserve">Polazna vrijednost</w:t>
            </w:r>
          </w:p>
        </w:tc>
        <w:tc>
          <w:tcPr>
            <w:tcW w:w="918.54" w:type="dxa"/>
            <w:vAlign w:val="center"/>
            <w:shd w:val="clear" w:color="auto" w:fill="b5c0d8"/>
          </w:tcPr>
          <w:p>
            <w:pPr>
              <w:jc w:val="both"/>
              <w:pStyle w:val="CellHeader"/>
            </w:pPr>
            <w:r>
              <w:rPr>
                <w:rFonts w:hAnsi="Times New Roman" w:cs="Times New Roman"/>
              </w:rPr>
              <w:t xml:space="preserve">Izvor podataka</w:t>
            </w:r>
          </w:p>
        </w:tc>
        <w:tc>
          <w:tcPr>
            <w:tcW w:w="918.54" w:type="dxa"/>
            <w:vAlign w:val="center"/>
            <w:shd w:val="clear" w:color="auto" w:fill="b5c0d8"/>
          </w:tcPr>
          <w:p>
            <w:pPr>
              <w:jc w:val="both"/>
              <w:pStyle w:val="CellHeader"/>
            </w:pPr>
            <w:r>
              <w:rPr>
                <w:rFonts w:hAnsi="Times New Roman" w:cs="Times New Roman"/>
              </w:rPr>
              <w:t xml:space="preserve">Ciljana vrijednost (2026.)</w:t>
            </w:r>
          </w:p>
        </w:tc>
        <w:tc>
          <w:tcPr>
            <w:tcW w:w="918.54" w:type="dxa"/>
            <w:vAlign w:val="center"/>
            <w:shd w:val="clear" w:color="auto" w:fill="b5c0d8"/>
          </w:tcPr>
          <w:p>
            <w:pPr>
              <w:jc w:val="both"/>
              <w:pStyle w:val="CellHeader"/>
            </w:pPr>
            <w:r>
              <w:rPr>
                <w:rFonts w:hAnsi="Times New Roman" w:cs="Times New Roman"/>
              </w:rPr>
              <w:t xml:space="preserve">Ciljana vrijednost (2027.)</w:t>
            </w:r>
          </w:p>
        </w:tc>
        <w:tc>
          <w:tcPr>
            <w:tcW w:w="918.54" w:type="dxa"/>
            <w:vAlign w:val="center"/>
            <w:shd w:val="clear" w:color="auto" w:fill="b5c0d8"/>
          </w:tcPr>
          <w:p>
            <w:pPr>
              <w:jc w:val="both"/>
              <w:pStyle w:val="CellHeader"/>
            </w:pPr>
            <w:r>
              <w:rPr>
                <w:rFonts w:hAnsi="Times New Roman" w:cs="Times New Roman"/>
              </w:rPr>
              <w:t xml:space="preserve">Ciljana vrijednost (2028.)</w:t>
            </w:r>
          </w:p>
        </w:tc>
      </w:tr>
      <w:tr>
        <w:trPr>
          <w:cantSplit/>
        </w:trPr>
        <w:tc>
          <w:tcPr>
            <w:tcW w:w="2245.32" w:type="dxa"/>
            <w:vAlign w:val="center"/>
          </w:tcPr>
          <w:p>
            <w:pPr>
              <w:jc w:val="both"/>
              <w:pStyle w:val="CellColumn"/>
            </w:pPr>
            <w:r>
              <w:rPr>
                <w:rFonts w:hAnsi="Times New Roman" w:cs="Times New Roman"/>
              </w:rPr>
              <w:t xml:space="preserve">Utrošena sredstva u svrhu obilježavanja Europskog dana sjećanja na žrtve svih totalitarnih i autoritarnih režima</w:t>
            </w:r>
          </w:p>
        </w:tc>
        <w:tc>
          <w:tcPr>
            <w:tcW w:w="2245.32" w:type="dxa"/>
            <w:vAlign w:val="center"/>
          </w:tcPr>
          <w:p>
            <w:pPr>
              <w:jc w:val="both"/>
              <w:pStyle w:val="CellColumn"/>
            </w:pPr>
            <w:r>
              <w:rPr>
                <w:rFonts w:hAnsi="Times New Roman" w:cs="Times New Roman"/>
              </w:rPr>
              <w:t xml:space="preserve">Prigodnim programom/svečanošću obilježen Europski dana sjećanja na žrtve svih totalitarnih i autoritarnih režima</w:t>
            </w:r>
          </w:p>
        </w:tc>
        <w:tc>
          <w:tcPr>
            <w:tcW w:w="918.54" w:type="dxa"/>
            <w:vAlign w:val="center"/>
          </w:tcPr>
          <w:p>
            <w:pPr>
              <w:jc w:val="both"/>
              <w:pStyle w:val="CellColumn"/>
            </w:pPr>
            <w:r>
              <w:rPr>
                <w:rFonts w:hAnsi="Times New Roman" w:cs="Times New Roman"/>
              </w:rPr>
              <w:t xml:space="preserve">%</w:t>
            </w:r>
          </w:p>
        </w:tc>
        <w:tc>
          <w:tcPr>
            <w:tcW w:w="918.54" w:type="dxa"/>
            <w:vAlign w:val="center"/>
          </w:tcPr>
          <w:p>
            <w:pPr>
              <w:jc w:val="both"/>
              <w:pStyle w:val="CellColumn"/>
            </w:pPr>
            <w:r>
              <w:rPr>
                <w:rFonts w:hAnsi="Times New Roman" w:cs="Times New Roman"/>
              </w:rPr>
              <w:t xml:space="preserve">0</w:t>
            </w:r>
          </w:p>
        </w:tc>
        <w:tc>
          <w:tcPr>
            <w:tcW w:w="918.54" w:type="dxa"/>
            <w:vAlign w:val="center"/>
          </w:tcPr>
          <w:p>
            <w:pPr>
              <w:jc w:val="both"/>
              <w:pStyle w:val="CellColumn"/>
            </w:pPr>
            <w:r>
              <w:rPr>
                <w:rFonts w:hAnsi="Times New Roman" w:cs="Times New Roman"/>
              </w:rPr>
              <w:t xml:space="preserve">Hrvatski sabor</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c>
          <w:tcPr>
            <w:tcW w:w="918.54" w:type="dxa"/>
            <w:vAlign w:val="center"/>
          </w:tcPr>
          <w:p>
            <w:pPr>
              <w:jc w:val="both"/>
              <w:pStyle w:val="CellColumn"/>
            </w:pPr>
            <w:r>
              <w:rPr>
                <w:rFonts w:hAnsi="Times New Roman" w:cs="Times New Roman"/>
              </w:rPr>
              <w:t xml:space="preserve">100</w:t>
            </w:r>
          </w:p>
        </w:tc>
      </w:tr>
    </w:tbl>
    <w:p>
      <w:pPr>
        <w:jc w:val="left"/>
      </w:pPr>
      <w:r>
        <w:rPr>
          <w:rFonts w:hAnsi="Times New Roman" w:cs="Times New Roman"/>
        </w:rPr>
        <w:t xml:space="preserve"/>
      </w:r>
    </w:p>
    <w:p>
      <w:pPr>
        <w:jc w:val="left"/>
        <w:pStyle w:val="Heading4"/>
      </w:pPr>
      <w:r>
        <w:rPr>
          <w:rFonts w:hAnsi="Times New Roman" w:cs="Times New Roman"/>
        </w:rPr>
        <w:t xml:space="preserve">A501042 TWINNING PROJEKT "OSNAŽIVANJE I DALJNJA PODRŠKA PARLAMENTIMA BOSNE I HERCEGOVINE U POSLOVIMA EU INTEGRACIJA - BA 16 IPA JH 01 18"</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Konzorcijski ugovor između zemalja članica EU o provedbi programa twinninga “Osnaživanje i daljnja podrška parlamentima BiH u poslovima EU integracija”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A501042-TWINNING PROJEKT "OSNAŽIVANJE I DALJNJA PODRŠKA PARLAMENTIMA BOSNE I HERCEGOVINE U POSLOVIMA EU INTEGRACIJA - BA 16 IPA JH 01 18"</w:t>
            </w:r>
          </w:p>
        </w:tc>
        <w:tc>
          <w:tcPr>
            <w:tcW w:w="1632.96" w:type="dxa"/>
            <w:vAlign w:val="center"/>
          </w:tcPr>
          <w:p>
            <w:pPr>
              <w:jc w:val="both"/>
              <w:pStyle w:val="CellColumn"/>
            </w:pPr>
            <w:r>
              <w:rPr>
                <w:rFonts w:hAnsi="Times New Roman" w:cs="Times New Roman"/>
              </w:rPr>
              <w:t xml:space="preserve">1.423</w:t>
            </w:r>
          </w:p>
        </w:tc>
        <w:tc>
          <w:tcPr>
            <w:tcW w:w="1632.96" w:type="dxa"/>
            <w:vAlign w:val="center"/>
          </w:tcPr>
          <w:p>
            <w:pPr>
              <w:jc w:val="both"/>
              <w:pStyle w:val="CellColumn"/>
            </w:pPr>
            <w:r>
              <w:rPr>
                <w:rFonts w:hAnsi="Times New Roman" w:cs="Times New Roman"/>
              </w:rPr>
              <w:t xml:space="preserve">2.400</w:t>
            </w:r>
          </w:p>
        </w:tc>
        <w:tc>
          <w:tcPr>
            <w:tcW w:w="1632.96" w:type="dxa"/>
            <w:vAlign w:val="center"/>
          </w:tcPr>
          <w:p>
            <w:pPr>
              <w:jc w:val="both"/>
              <w:pStyle w:val="CellColumn"/>
            </w:pPr>
            <w:r>
              <w:rPr>
                <w:rFonts w:hAnsi="Times New Roman" w:cs="Times New Roman"/>
              </w:rPr>
              <w:t xml:space="preserve">2.400</w:t>
            </w:r>
          </w:p>
        </w:tc>
        <w:tc>
          <w:tcPr>
            <w:tcW w:w="1632.96" w:type="dxa"/>
            <w:vAlign w:val="center"/>
          </w:tcPr>
          <w:p>
            <w:pPr>
              <w:jc w:val="both"/>
              <w:pStyle w:val="CellColumn"/>
            </w:pPr>
            <w:r>
              <w:rPr>
                <w:rFonts w:hAnsi="Times New Roman" w:cs="Times New Roman"/>
              </w:rPr>
              <w:t xml:space="preserve">2.400</w:t>
            </w:r>
          </w:p>
        </w:tc>
        <w:tc>
          <w:tcPr>
            <w:tcW w:w="1632.96" w:type="dxa"/>
            <w:vAlign w:val="center"/>
          </w:tcPr>
          <w:p>
            <w:pPr>
              <w:jc w:val="both"/>
              <w:pStyle w:val="CellColumn"/>
            </w:pPr>
            <w:r>
              <w:rPr>
                <w:rFonts w:hAnsi="Times New Roman" w:cs="Times New Roman"/>
              </w:rPr>
              <w:t xml:space="preserve">2.400</w:t>
            </w:r>
          </w:p>
        </w:tc>
        <w:tc>
          <w:tcPr>
            <w:tcW w:w="510.3" w:type="dxa"/>
            <w:vAlign w:val="center"/>
          </w:tcPr>
          <w:p>
            <w:pPr>
              <w:jc w:val="both"/>
              <w:pStyle w:val="CellColumn"/>
            </w:pPr>
            <w:r>
              <w:rPr>
                <w:rFonts w:hAnsi="Times New Roman" w:cs="Times New Roman"/>
              </w:rPr>
              <w:t xml:space="preserve">100,0</w:t>
            </w:r>
          </w:p>
        </w:tc>
      </w:tr>
    </w:tbl>
    <w:p>
      <w:pPr>
        <w:jc w:val="left"/>
      </w:pPr>
      <w:r>
        <w:rPr>
          <w:rFonts w:hAnsi="Times New Roman" w:cs="Times New Roman"/>
        </w:rPr>
        <w:t xml:space="preserve"/>
      </w:r>
    </w:p>
    <w:p>
      <w:pPr>
        <w:jc w:val="both"/>
        <w:pStyle w:val="Normal"/>
      </w:pPr>
      <w:r>
        <w:rPr>
          <w:rFonts w:hAnsi="Times New Roman" w:cs="Times New Roman"/>
        </w:rPr>
        <w:t xml:space="preserve">U okviru ove aktivnosti planirana su sredstva na izvoru financiranja 31 Vlastiti prihodi na skupini rashoda 32 Materijalni rashodi u iznosu 2.400,00 eura za svaku godinu planiranja. Sredstva su planirana za najam opreme.</w:t>
      </w:r>
    </w:p>
    <w:p>
      <w:pPr>
        <w:jc w:val="left"/>
        <w:pStyle w:val="Heading4"/>
      </w:pPr>
      <w:r>
        <w:rPr>
          <w:rFonts w:hAnsi="Times New Roman" w:cs="Times New Roman"/>
        </w:rPr>
        <w:t xml:space="preserve">K501013 INFORMATIZACIJA HRVATSKOG SABORA</w:t>
      </w:r>
    </w:p>
    <w:p>
      <w:pPr>
        <w:jc w:val="left"/>
        <w:pStyle w:val="Heading8"/>
      </w:pPr>
      <w:r>
        <w:rPr>
          <w:rFonts w:hAnsi="Times New Roman" w:cs="Times New Roman"/>
        </w:rPr>
        <w:t xml:space="preserve">Zakonske i druge pravne osnove</w:t>
      </w:r>
    </w:p>
    <w:p>
      <w:pPr>
        <w:jc w:val="both"/>
        <w:pStyle w:val="Normal5"/>
      </w:pPr>
      <w:r>
        <w:rPr>
          <w:rFonts w:hAnsi="Times New Roman" w:cs="Times New Roman"/>
        </w:rPr>
        <w:t xml:space="preserve">Čl. 15., 20., 223., 225. i 293.a Poslovnika Hrvatskoga sabora 
</w:t>
      </w:r>
    </w:p>
    <w:p>
      <w:pPr>
        <w:jc w:val="both"/>
        <w:pStyle w:val="Normal5"/>
      </w:pPr>
      <w:r>
        <w:rPr>
          <w:rFonts w:hAnsi="Times New Roman" w:cs="Times New Roman"/>
        </w:rPr>
        <w:t xml:space="preserve">Odluka Predsjedništva Hrvatskog sabora o dostupnosti i dostavi službenih materijala i dokumenata zastupnicima Hrvatskoga sabora</w:t>
      </w:r>
    </w:p>
    <w:tbl>
      <w:tblPr w:type="dxa">
        <w:tblStyle w:val="StilTablice"/>
        <w:tblW w:w="10206"/>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3096</w:gridCol>
        <w:gridCol>3096</w:gridCol>
        <w:gridCol>3096</w:gridCol>
        <w:gridCol>3096</w:gridCol>
        <w:gridCol>3096</w:gridCol>
        <w:gridCol>3096</w:gridCol>
        <w:gridCol>3096</w:gridCol>
      </w:tblGrid>
      <w:tr>
        <w:trPr>
          <w:cantSplit/>
        </w:trPr>
        <w:tc>
          <w:tcPr>
            <w:tcW w:w="1530.8999999999999" w:type="dxa"/>
            <w:vAlign w:val="center"/>
            <w:shd w:val="clear" w:color="auto" w:fill="b5c0d8"/>
          </w:tcPr>
          <w:p>
            <w:pPr>
              <w:jc w:val="both"/>
              <w:pStyle w:val="CellHeader"/>
            </w:pPr>
            <w:r>
              <w:rPr>
                <w:rFonts w:hAnsi="Times New Roman" w:cs="Times New Roman"/>
              </w:rPr>
              <w:t xml:space="preserve">Naziv aktivnosti</w:t>
            </w:r>
          </w:p>
        </w:tc>
        <w:tc>
          <w:tcPr>
            <w:tcW w:w="1632.96" w:type="dxa"/>
            <w:vAlign w:val="center"/>
            <w:shd w:val="clear" w:color="auto" w:fill="b5c0d8"/>
          </w:tcPr>
          <w:p>
            <w:pPr>
              <w:jc w:val="both"/>
              <w:pStyle w:val="CellHeader"/>
            </w:pPr>
            <w:r>
              <w:rPr>
                <w:rFonts w:hAnsi="Times New Roman" w:cs="Times New Roman"/>
              </w:rPr>
              <w:t xml:space="preserve">Izvršenje 2024. (eur)</w:t>
            </w:r>
          </w:p>
        </w:tc>
        <w:tc>
          <w:tcPr>
            <w:tcW w:w="1632.96" w:type="dxa"/>
            <w:vAlign w:val="center"/>
            <w:shd w:val="clear" w:color="auto" w:fill="b5c0d8"/>
          </w:tcPr>
          <w:p>
            <w:pPr>
              <w:jc w:val="both"/>
              <w:pStyle w:val="CellHeader"/>
            </w:pPr>
            <w:r>
              <w:rPr>
                <w:rFonts w:hAnsi="Times New Roman" w:cs="Times New Roman"/>
              </w:rPr>
              <w:t xml:space="preserve">Plan 2025. (eur)</w:t>
            </w:r>
          </w:p>
        </w:tc>
        <w:tc>
          <w:tcPr>
            <w:tcW w:w="1632.96" w:type="dxa"/>
            <w:vAlign w:val="center"/>
            <w:shd w:val="clear" w:color="auto" w:fill="b5c0d8"/>
          </w:tcPr>
          <w:p>
            <w:pPr>
              <w:jc w:val="both"/>
              <w:pStyle w:val="CellHeader"/>
            </w:pPr>
            <w:r>
              <w:rPr>
                <w:rFonts w:hAnsi="Times New Roman" w:cs="Times New Roman"/>
              </w:rPr>
              <w:t xml:space="preserve">Plan 2026. (eur)</w:t>
            </w:r>
          </w:p>
        </w:tc>
        <w:tc>
          <w:tcPr>
            <w:tcW w:w="1632.96" w:type="dxa"/>
            <w:vAlign w:val="center"/>
            <w:shd w:val="clear" w:color="auto" w:fill="b5c0d8"/>
          </w:tcPr>
          <w:p>
            <w:pPr>
              <w:jc w:val="both"/>
              <w:pStyle w:val="CellHeader"/>
            </w:pPr>
            <w:r>
              <w:rPr>
                <w:rFonts w:hAnsi="Times New Roman" w:cs="Times New Roman"/>
              </w:rPr>
              <w:t xml:space="preserve">Plan 2027. (eur)</w:t>
            </w:r>
          </w:p>
        </w:tc>
        <w:tc>
          <w:tcPr>
            <w:tcW w:w="1632.96" w:type="dxa"/>
            <w:vAlign w:val="center"/>
            <w:shd w:val="clear" w:color="auto" w:fill="b5c0d8"/>
          </w:tcPr>
          <w:p>
            <w:pPr>
              <w:jc w:val="both"/>
              <w:pStyle w:val="CellHeader"/>
            </w:pPr>
            <w:r>
              <w:rPr>
                <w:rFonts w:hAnsi="Times New Roman" w:cs="Times New Roman"/>
              </w:rPr>
              <w:t xml:space="preserve">Plan 2028. (eur)</w:t>
            </w:r>
          </w:p>
        </w:tc>
        <w:tc>
          <w:tcPr>
            <w:tcW w:w="510.3" w:type="dxa"/>
            <w:vAlign w:val="center"/>
            <w:shd w:val="clear" w:color="auto" w:fill="b5c0d8"/>
          </w:tcPr>
          <w:p>
            <w:pPr>
              <w:jc w:val="both"/>
              <w:pStyle w:val="CellHeader"/>
            </w:pPr>
            <w:r>
              <w:rPr>
                <w:rFonts w:hAnsi="Times New Roman" w:cs="Times New Roman"/>
              </w:rPr>
              <w:t xml:space="preserve">Indeks 2026/2025</w:t>
            </w:r>
          </w:p>
        </w:tc>
      </w:tr>
      <w:tr>
        <w:trPr>
          <w:cantSplit/>
        </w:trPr>
        <w:tc>
          <w:tcPr>
            <w:tcW w:w="1530.8999999999999" w:type="dxa"/>
            <w:vAlign w:val="center"/>
          </w:tcPr>
          <w:p>
            <w:pPr>
              <w:jc w:val="both"/>
              <w:pStyle w:val="CellColumn"/>
            </w:pPr>
            <w:r>
              <w:rPr>
                <w:rFonts w:hAnsi="Times New Roman" w:cs="Times New Roman"/>
              </w:rPr>
              <w:t xml:space="preserve">K501013-INFORMATIZACIJA HRVATSKOG SABORA</w:t>
            </w:r>
          </w:p>
        </w:tc>
        <w:tc>
          <w:tcPr>
            <w:tcW w:w="1632.96" w:type="dxa"/>
            <w:vAlign w:val="center"/>
          </w:tcPr>
          <w:p>
            <w:pPr>
              <w:jc w:val="both"/>
              <w:pStyle w:val="CellColumn"/>
            </w:pPr>
            <w:r>
              <w:rPr>
                <w:rFonts w:hAnsi="Times New Roman" w:cs="Times New Roman"/>
              </w:rPr>
              <w:t xml:space="preserve">263.950</w:t>
            </w:r>
          </w:p>
        </w:tc>
        <w:tc>
          <w:tcPr>
            <w:tcW w:w="1632.96" w:type="dxa"/>
            <w:vAlign w:val="center"/>
          </w:tcPr>
          <w:p>
            <w:pPr>
              <w:jc w:val="both"/>
              <w:pStyle w:val="CellColumn"/>
            </w:pPr>
            <w:r>
              <w:rPr>
                <w:rFonts w:hAnsi="Times New Roman" w:cs="Times New Roman"/>
              </w:rPr>
              <w:t xml:space="preserve">754.200</w:t>
            </w:r>
          </w:p>
        </w:tc>
        <w:tc>
          <w:tcPr>
            <w:tcW w:w="1632.96" w:type="dxa"/>
            <w:vAlign w:val="center"/>
          </w:tcPr>
          <w:p>
            <w:pPr>
              <w:jc w:val="both"/>
              <w:pStyle w:val="CellColumn"/>
            </w:pPr>
            <w:r>
              <w:rPr>
                <w:rFonts w:hAnsi="Times New Roman" w:cs="Times New Roman"/>
              </w:rPr>
              <w:t xml:space="preserve">929.962</w:t>
            </w:r>
          </w:p>
        </w:tc>
        <w:tc>
          <w:tcPr>
            <w:tcW w:w="1632.96" w:type="dxa"/>
            <w:vAlign w:val="center"/>
          </w:tcPr>
          <w:p>
            <w:pPr>
              <w:jc w:val="both"/>
              <w:pStyle w:val="CellColumn"/>
            </w:pPr>
            <w:r>
              <w:rPr>
                <w:rFonts w:hAnsi="Times New Roman" w:cs="Times New Roman"/>
              </w:rPr>
              <w:t xml:space="preserve">1.013.200</w:t>
            </w:r>
          </w:p>
        </w:tc>
        <w:tc>
          <w:tcPr>
            <w:tcW w:w="1632.96" w:type="dxa"/>
            <w:vAlign w:val="center"/>
          </w:tcPr>
          <w:p>
            <w:pPr>
              <w:jc w:val="both"/>
              <w:pStyle w:val="CellColumn"/>
            </w:pPr>
            <w:r>
              <w:rPr>
                <w:rFonts w:hAnsi="Times New Roman" w:cs="Times New Roman"/>
              </w:rPr>
              <w:t xml:space="preserve">1.813.200</w:t>
            </w:r>
          </w:p>
        </w:tc>
        <w:tc>
          <w:tcPr>
            <w:tcW w:w="510.3" w:type="dxa"/>
            <w:vAlign w:val="center"/>
          </w:tcPr>
          <w:p>
            <w:pPr>
              <w:jc w:val="both"/>
              <w:pStyle w:val="CellColumn"/>
            </w:pPr>
            <w:r>
              <w:rPr>
                <w:rFonts w:hAnsi="Times New Roman" w:cs="Times New Roman"/>
              </w:rPr>
              <w:t xml:space="preserve">123,3</w:t>
            </w:r>
          </w:p>
        </w:tc>
      </w:tr>
    </w:tbl>
    <w:p>
      <w:pPr>
        <w:jc w:val="left"/>
      </w:pPr>
      <w:r>
        <w:rPr>
          <w:rFonts w:hAnsi="Times New Roman" w:cs="Times New Roman"/>
        </w:rPr>
        <w:t xml:space="preserve"/>
      </w:r>
    </w:p>
    <w:p>
      <w:pPr>
        <w:jc w:val="both"/>
        <w:pStyle w:val="Normal"/>
      </w:pPr>
      <w:r>
        <w:rPr>
          <w:rFonts w:hAnsi="Times New Roman" w:cs="Times New Roman"/>
        </w:rPr>
        <w:t xml:space="preserve">U okviru kapitalnog projekta K501013 Informatizacija Hrvatskoga sabora planirana su sredstva u iznosu 929.962,00 eura za 2026. godinu, 1.013.200,00 eura za 2027. godinu te 1.813.200,00  eura za 2028. godinu. 
</w:t>
      </w:r>
    </w:p>
    <w:p>
      <w:pPr>
        <w:jc w:val="both"/>
        <w:pStyle w:val="Normal"/>
      </w:pPr>
      <w:r>
        <w:rPr>
          <w:rFonts w:hAnsi="Times New Roman" w:cs="Times New Roman"/>
        </w:rPr>
        <w:t xml:space="preserve"> 
</w:t>
      </w:r>
    </w:p>
    <w:p>
      <w:pPr>
        <w:jc w:val="both"/>
        <w:pStyle w:val="Normal"/>
      </w:pPr>
      <w:r>
        <w:rPr>
          <w:rFonts w:hAnsi="Times New Roman" w:cs="Times New Roman"/>
        </w:rPr>
        <w:t xml:space="preserve">U nastavku dajemo razradu planiranih sredstava po skupinama rashoda kako slijedi: 
</w:t>
      </w:r>
    </w:p>
    <w:p>
      <w:pPr>
        <w:jc w:val="both"/>
        <w:pStyle w:val="Normal"/>
      </w:pPr>
      <w:r>
        <w:rPr>
          <w:rFonts w:hAnsi="Times New Roman" w:cs="Times New Roman"/>
        </w:rPr>
        <w:t xml:space="preserve">
</w:t>
      </w:r>
    </w:p>
    <w:p>
      <w:pPr>
        <w:jc w:val="both"/>
        <w:pStyle w:val="Normal"/>
      </w:pPr>
      <w:r>
        <w:rPr>
          <w:rFonts w:hAnsi="Times New Roman" w:cs="Times New Roman"/>
        </w:rPr>
        <w:t xml:space="preserve">32 Materijalni rashodi 
</w:t>
      </w:r>
    </w:p>
    <w:p>
      <w:pPr>
        <w:jc w:val="both"/>
        <w:pStyle w:val="Normal"/>
      </w:pPr>
      <w:r>
        <w:rPr>
          <w:rFonts w:hAnsi="Times New Roman" w:cs="Times New Roman"/>
        </w:rPr>
        <w:t xml:space="preserve">Planirana su sredstva u iznosu 363.200,00 eura za svaku godinu planiranja za podmirenje redovnih licenci potrebnih za rad stručnih službi Hrvatskoga sabora čije je trajanje ograničeno na razdoblje do jedne godine.
</w:t>
      </w:r>
    </w:p>
    <w:p>
      <w:pPr>
        <w:jc w:val="both"/>
        <w:pStyle w:val="Normal"/>
      </w:pPr>
      <w:r>
        <w:rPr>
          <w:rFonts w:hAnsi="Times New Roman" w:cs="Times New Roman"/>
        </w:rPr>
        <w:t xml:space="preserve">
</w:t>
      </w:r>
    </w:p>
    <w:p>
      <w:pPr>
        <w:jc w:val="both"/>
        <w:pStyle w:val="Normal"/>
      </w:pPr>
      <w:r>
        <w:rPr>
          <w:rFonts w:hAnsi="Times New Roman" w:cs="Times New Roman"/>
        </w:rPr>
        <w:t xml:space="preserve">41 Rashodi za nabavu neproizvedene dugotrajne imovine 
</w:t>
      </w:r>
    </w:p>
    <w:p>
      <w:pPr>
        <w:jc w:val="both"/>
        <w:pStyle w:val="Normal"/>
      </w:pPr>
      <w:r>
        <w:rPr>
          <w:rFonts w:hAnsi="Times New Roman" w:cs="Times New Roman"/>
        </w:rPr>
        <w:t xml:space="preserve">Planirana su sredstva u iznosu 50.000,00 eura za svaku godinu planiranja za podmirenje višegodišnjih licenci potrebnih za rad stručnih službi Hrvatskoga sabora.
</w:t>
      </w:r>
    </w:p>
    <w:p>
      <w:pPr>
        <w:jc w:val="both"/>
        <w:pStyle w:val="Normal"/>
      </w:pPr>
      <w:r>
        <w:rPr>
          <w:rFonts w:hAnsi="Times New Roman" w:cs="Times New Roman"/>
        </w:rPr>
        <w:t xml:space="preserve"> 
</w:t>
      </w:r>
    </w:p>
    <w:p>
      <w:pPr>
        <w:jc w:val="both"/>
        <w:pStyle w:val="Normal"/>
      </w:pPr>
      <w:r>
        <w:rPr>
          <w:rFonts w:hAnsi="Times New Roman" w:cs="Times New Roman"/>
        </w:rPr>
        <w:t xml:space="preserve">42 Rashodi za nabavu proizvedene dugotrajne imovine 
</w:t>
      </w:r>
    </w:p>
    <w:p>
      <w:pPr>
        <w:jc w:val="both"/>
        <w:pStyle w:val="Normal"/>
      </w:pPr>
      <w:r>
        <w:rPr>
          <w:rFonts w:hAnsi="Times New Roman" w:cs="Times New Roman"/>
        </w:rPr>
        <w:t xml:space="preserve">Planirana su sredstva u iznosu 516.762,00 eura za 2026. godinu, 600.000,00 eura za 2027. godinu te 1.400.000,00 eura za 2028. godinu. Sredstva su planirana za nabavu računalne opreme, dorade postojećih aplikativnih rješenja te izradu novih.</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FE4B89"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FE4B89"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Anita Marasović</cp:lastModifiedBy>
  <cp:revision>14</cp:revision>
  <dcterms:created xsi:type="dcterms:W3CDTF">2016-10-28T08:23:00Z</dcterms:created>
  <dcterms:modified xsi:type="dcterms:W3CDTF">2016-11-09T08:08:00Z</dcterms:modified>
</cp:coreProperties>
</file>