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sectPr w:rsidR="007A7E45" w:rsidRPr="00FE4B8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  <w:p>
      <w:pPr>
        <w:jc w:val="left"/>
        <w:pStyle w:val="Heading1"/>
      </w:pPr>
      <w:r>
        <w:rPr>
          <w:rFonts w:hAnsi="Times New Roman" w:cs="Times New Roman"/>
        </w:rPr>
        <w:t xml:space="preserve">OBRAZLOŽENJE OPĆEG DIJELA FINANCIJSKOG PLANA</w:t>
      </w:r>
    </w:p>
    <w:p>
      <w:pPr>
        <w:jc w:val="left"/>
        <w:pStyle w:val="Heading2"/>
      </w:pPr>
      <w:r>
        <w:rPr>
          <w:rFonts w:hAnsi="Times New Roman" w:cs="Times New Roman"/>
        </w:rPr>
        <w:t xml:space="preserve">01005 Hrvatski sabor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PRIHODI I PRIMICI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Za razdoblje 2026-2028 Hrvatski sabor planira ostvarenje prihoda iz izvora financiranja te u iznosima kako slijedi: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 u okviru izvora financiranja 11 Opći prihodi i primici: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67111 Prihodi iz nadležnog proračuna za financiranje rashoda poslovanja: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31.377.375,00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31.868.298,00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33.394.667,00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67121 Prihodi iz nadležnog proračuna za financiranje rashoda za nabavu nefinancijske imovine: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1.810.762,00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12.750.295,00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3.149.000,00 eura.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RASHODI I IZDACI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narednom trogodišnjem razdoblju rashodi Hrvatskoga sabora bit će usmjereni na ostvarivanje ustavnih, poslovničkih i zakonskih zadaća, pružanje operativne podrške radu zastupnika,  nastavak modernizacije aplikativnih rješenja, podmirenje fiksnih i ugovornih obveza te osiguranje tehničkih uvjeta za povratak na matičnu lokaciju nakon završetka obnove zgrade Hrvatskoga sabora od posljedica potresa te energetske obnove.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PRIJENOS SREDSTAVA IZ PRETHODNE U SLJEDEĆU GODINU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okviru izvora financiranja 31 Vlastiti prihodi Hrvatski sabor prenosi akumulirana sredstva u iznosu 97.144,00 eura od najma poslovnog prostora te Twinning projekta Osnaživanje i daljnja podrška parlamentima BiH u poslovima EU integracija. Od navedenog iznosa, sredstva u iznosu 2.400,00 eura za sljedeće trogodišnje razdoblje bit će utrošena za potrebe najma opreme, a ostatak sukladno odredbama Zakona o proračunu.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I DOSPJELE OBVEZE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eurima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	                                                  Stanje obveza na dan 31.12.2024.	Stanje obveza na dan 30.06.2025.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obveze	                                                           2.305.815,23	                                   3.206.674,53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Dospjele obveze		                                                                 -                                                      -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E4B8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E4B8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Anita Marasović</cp:lastModifiedBy>
  <cp:revision>14</cp:revision>
  <dcterms:created xsi:type="dcterms:W3CDTF">2016-10-28T08:23:00Z</dcterms:created>
  <dcterms:modified xsi:type="dcterms:W3CDTF">2016-11-09T08:08:00Z</dcterms:modified>
</cp:coreProperties>
</file>